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C6" w:rsidRDefault="00F36BC6" w:rsidP="00F36BC6">
      <w:pPr>
        <w:spacing w:line="240" w:lineRule="auto"/>
        <w:ind w:firstLine="567"/>
        <w:jc w:val="center"/>
        <w:rPr>
          <w:rStyle w:val="rvts15"/>
          <w:rFonts w:eastAsia="Calibri"/>
          <w:b/>
          <w:bCs/>
          <w:szCs w:val="28"/>
          <w:bdr w:val="none" w:sz="0" w:space="0" w:color="auto" w:frame="1"/>
        </w:rPr>
      </w:pPr>
      <w:r w:rsidRPr="009F1E28">
        <w:rPr>
          <w:rStyle w:val="rvts15"/>
          <w:rFonts w:eastAsia="Calibri"/>
          <w:b/>
          <w:bCs/>
          <w:szCs w:val="28"/>
          <w:bdr w:val="none" w:sz="0" w:space="0" w:color="auto" w:frame="1"/>
        </w:rPr>
        <w:t>ПРАВИЛА ПРИЙОМУ В АСПІРАНТУРУ ТА ДОКТОРАНТУРУ</w:t>
      </w:r>
    </w:p>
    <w:p w:rsidR="00F36BC6" w:rsidRPr="00484FCE" w:rsidRDefault="00F36BC6" w:rsidP="00F36BC6">
      <w:pPr>
        <w:spacing w:line="240" w:lineRule="auto"/>
        <w:ind w:firstLine="567"/>
        <w:jc w:val="center"/>
        <w:rPr>
          <w:rStyle w:val="rvts15"/>
          <w:rFonts w:eastAsia="Calibri"/>
          <w:b/>
          <w:bCs/>
          <w:szCs w:val="28"/>
          <w:bdr w:val="none" w:sz="0" w:space="0" w:color="auto" w:frame="1"/>
        </w:rPr>
      </w:pP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Правила прийому до докторантури і аспірантури Київського національного університету будівництва і архітектури Міністерства освіти і науки України розроблені відповідно до Закону України "Про вищу освіту" від 1 липня 2014 р. № 1556-VII, "Порядку підготовки здобувачів вищої освіти ступеня доктора філософії та доктора наук у закладах вищої освіти (наукових установах)" затвердженого постановою Кабінету Міністрів України від 23 березня 2016 за № 261 </w:t>
      </w:r>
      <w:r w:rsidRPr="0048285D">
        <w:rPr>
          <w:color w:val="000000"/>
          <w:szCs w:val="28"/>
          <w:lang w:eastAsia="uk-UA"/>
        </w:rPr>
        <w:t>(в редакції постанови Кабінету Міністрів України від 19 травня 2023 року № 502)</w:t>
      </w:r>
      <w:r w:rsidRPr="0048285D">
        <w:rPr>
          <w:szCs w:val="28"/>
        </w:rPr>
        <w:t>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Прийом на навчання до творчої аспірантури та </w:t>
      </w:r>
      <w:proofErr w:type="spellStart"/>
      <w:r w:rsidRPr="0048285D">
        <w:rPr>
          <w:szCs w:val="28"/>
        </w:rPr>
        <w:t>асистентури</w:t>
      </w:r>
      <w:proofErr w:type="spellEnd"/>
      <w:r w:rsidRPr="0048285D">
        <w:rPr>
          <w:szCs w:val="28"/>
        </w:rPr>
        <w:t xml:space="preserve">-стажування здійснюється відповідно до Порядку здобуття </w:t>
      </w:r>
      <w:proofErr w:type="spellStart"/>
      <w:r w:rsidRPr="0048285D">
        <w:rPr>
          <w:szCs w:val="28"/>
        </w:rPr>
        <w:t>освітньо</w:t>
      </w:r>
      <w:proofErr w:type="spellEnd"/>
      <w:r w:rsidRPr="0048285D">
        <w:rPr>
          <w:szCs w:val="28"/>
        </w:rPr>
        <w:t xml:space="preserve">-творчого ступеня доктора мистецтва та навчання в </w:t>
      </w:r>
      <w:proofErr w:type="spellStart"/>
      <w:r w:rsidRPr="0048285D">
        <w:rPr>
          <w:szCs w:val="28"/>
        </w:rPr>
        <w:t>асистентурі</w:t>
      </w:r>
      <w:proofErr w:type="spellEnd"/>
      <w:r w:rsidRPr="0048285D">
        <w:rPr>
          <w:szCs w:val="28"/>
        </w:rPr>
        <w:t>-стажуванні, затвердженого постановою Кабінету Міністрів України від 24 жовтня 2018 року № 865.</w:t>
      </w:r>
    </w:p>
    <w:p w:rsidR="00F36BC6" w:rsidRPr="0048285D" w:rsidRDefault="00F36BC6" w:rsidP="00F36BC6">
      <w:pPr>
        <w:ind w:firstLine="0"/>
        <w:jc w:val="center"/>
        <w:rPr>
          <w:b/>
          <w:szCs w:val="28"/>
        </w:rPr>
      </w:pPr>
    </w:p>
    <w:p w:rsidR="00F36BC6" w:rsidRDefault="00F36BC6" w:rsidP="00F36BC6">
      <w:pPr>
        <w:numPr>
          <w:ilvl w:val="0"/>
          <w:numId w:val="1"/>
        </w:numPr>
        <w:ind w:left="0" w:firstLine="0"/>
        <w:jc w:val="center"/>
        <w:rPr>
          <w:b/>
          <w:caps/>
          <w:szCs w:val="28"/>
        </w:rPr>
      </w:pPr>
      <w:r w:rsidRPr="0048285D">
        <w:rPr>
          <w:b/>
          <w:caps/>
          <w:szCs w:val="28"/>
        </w:rPr>
        <w:t>Аспірантура</w:t>
      </w:r>
    </w:p>
    <w:p w:rsidR="00F36BC6" w:rsidRPr="0048285D" w:rsidRDefault="00F36BC6" w:rsidP="00F36BC6">
      <w:pPr>
        <w:ind w:firstLine="0"/>
        <w:jc w:val="center"/>
        <w:rPr>
          <w:b/>
          <w:szCs w:val="28"/>
        </w:rPr>
      </w:pPr>
      <w:r w:rsidRPr="0048285D">
        <w:rPr>
          <w:b/>
          <w:szCs w:val="28"/>
        </w:rPr>
        <w:t>1.1. Загальні вимоги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1.1.1. На навчання до аспірантури Київського національного університету будівництва і архітектури (КНУБА) приймаються громадяни України, а також іноземці та особи без громадянства, які перебувають в Україні на законних підставах, мають відповідний освітній (освітньо-кваліфікаційний) рівень (магістра або спеціаліста).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1.1.2. Підготовка в аспірантурі КНУБА здійснюється: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1) за рахунок: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коштів державного бюджету України – за державним замовленням;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коштів юридичних чи фізичних осіб (на умовах договору, зокрема за кошти грантів на проведення наукових досліджень, за якими передбачається підготовка здобувачів вищої освіти ступеня доктора філософії)</w:t>
      </w:r>
      <w:r>
        <w:rPr>
          <w:szCs w:val="28"/>
        </w:rPr>
        <w:t>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2) іноземців та осіб без громадянства на підставі: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міжнародних договорів України, міжнародних програм обміну чи мобільності;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загальнодержавних програм, міжнародних договорів, укладених між університетом та вищими навчальними закладами (науковими установами) інших країн, щодо обміну вченими чи академічної мобільності;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договорів, укладених між університетом з юридичними та фізичними особами.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1.1.3. Прийом на навчання іноземців та осіб без громадянства (далі - іноземці) до КНУБА здійснюється згідно із Законами України</w:t>
      </w:r>
      <w:r w:rsidRPr="0048285D">
        <w:rPr>
          <w:color w:val="FF0000"/>
          <w:szCs w:val="28"/>
        </w:rPr>
        <w:t xml:space="preserve"> </w:t>
      </w:r>
      <w:r w:rsidRPr="0048285D">
        <w:rPr>
          <w:szCs w:val="28"/>
        </w:rPr>
        <w:t>«Про вищу освіту», «Про правовий статус іноземців та осіб без громадянства», «Про закордонних українців», «Про біженців та осіб, які потребують додаткового або тимчасового захисту»,</w:t>
      </w:r>
      <w:r w:rsidRPr="0048285D">
        <w:rPr>
          <w:color w:val="FF0000"/>
          <w:szCs w:val="28"/>
        </w:rPr>
        <w:t xml:space="preserve"> </w:t>
      </w:r>
      <w:r w:rsidRPr="0048285D">
        <w:rPr>
          <w:bCs/>
          <w:szCs w:val="28"/>
          <w:lang w:eastAsia="uk-UA"/>
        </w:rPr>
        <w:t xml:space="preserve">«Про встановлення додаткових правових та соціальних гарантій для громадян </w:t>
      </w:r>
      <w:r w:rsidRPr="0048285D">
        <w:rPr>
          <w:bCs/>
          <w:szCs w:val="28"/>
          <w:lang w:eastAsia="uk-UA"/>
        </w:rPr>
        <w:lastRenderedPageBreak/>
        <w:t xml:space="preserve">Республіки Польща, які перебувають на території України», постановою Кабінету Міністрів України від 12 вересня 2018 року № 729 «Питання здобуття вищої освіти деякими категоріями осіб», </w:t>
      </w:r>
      <w:r w:rsidRPr="0048285D">
        <w:rPr>
          <w:szCs w:val="28"/>
        </w:rPr>
        <w:t>наказом Міністерства освіти і науки України від 01 листопада 2013 року № 1541 «Деякі питання організації набору та навчання (стажування) іноземців та осіб без громадянства», зареєстрованим у Міністерстві юстиції України 25 листопада 2013 року за № 2004/24536 (у редакції наказу Міністерства освіти і науки України від 20 січня 2021 року № 71</w:t>
      </w:r>
      <w:r>
        <w:rPr>
          <w:szCs w:val="28"/>
        </w:rPr>
        <w:t>)</w:t>
      </w:r>
      <w:r w:rsidRPr="0048285D">
        <w:rPr>
          <w:szCs w:val="28"/>
        </w:rPr>
        <w:t>.</w:t>
      </w:r>
    </w:p>
    <w:p w:rsidR="00F36BC6" w:rsidRPr="0048285D" w:rsidRDefault="00F36BC6" w:rsidP="00F36BC6">
      <w:pPr>
        <w:pStyle w:val="a5"/>
        <w:tabs>
          <w:tab w:val="left" w:pos="567"/>
        </w:tabs>
        <w:ind w:left="0" w:firstLineChars="252" w:firstLine="706"/>
        <w:contextualSpacing w:val="0"/>
        <w:rPr>
          <w:bCs/>
          <w:szCs w:val="28"/>
          <w:lang w:eastAsia="uk-UA"/>
        </w:rPr>
      </w:pPr>
      <w:r w:rsidRPr="0048285D">
        <w:rPr>
          <w:bCs/>
          <w:szCs w:val="28"/>
          <w:lang w:eastAsia="uk-UA"/>
        </w:rPr>
        <w:t>Громадяни Російської Федерації та Республіки Білорусь, які не мають посвідки на постійне (тимчасове) проживання в Україні, приймаються на навчання за індивідуальним дозволом Міністерства освіти і науки України.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1.1.4. Підготовка в аспірантурі КНУБА іноземців та осіб без громадянства здійснюється лише за акредитованими освітніми програмами (спеціальностями).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1.1.</w:t>
      </w:r>
      <w:r>
        <w:rPr>
          <w:szCs w:val="28"/>
        </w:rPr>
        <w:t>5</w:t>
      </w:r>
      <w:r w:rsidRPr="0048285D">
        <w:rPr>
          <w:szCs w:val="28"/>
        </w:rPr>
        <w:t>. До вступу в аспірантуру допускаються особи, які здобули освітньо-кваліфікаційний рівень магістра або спеціаліста, мають високий середній бал в додатку до диплому та навички наукової роботи.</w:t>
      </w:r>
    </w:p>
    <w:p w:rsidR="00F36BC6" w:rsidRPr="0048285D" w:rsidRDefault="00F36BC6" w:rsidP="00F36BC6">
      <w:pPr>
        <w:ind w:firstLine="567"/>
        <w:rPr>
          <w:szCs w:val="28"/>
        </w:rPr>
      </w:pPr>
      <w:r>
        <w:rPr>
          <w:szCs w:val="28"/>
        </w:rPr>
        <w:t>1.1.6</w:t>
      </w:r>
      <w:r w:rsidRPr="0048285D">
        <w:rPr>
          <w:szCs w:val="28"/>
        </w:rPr>
        <w:t>. Особа, яка раніше навчалася в аспірантурі за державним замовленням і не захистилася або була відрахована з неї достроково, має право на повторний вступ до аспірантури за державним замовленням лише за умови відшкодування коштів, витрачених на її підготовку, у визначеному Кабінетом Міністрів України порядку.</w:t>
      </w:r>
    </w:p>
    <w:p w:rsidR="00F36BC6" w:rsidRPr="0048285D" w:rsidRDefault="00F36BC6" w:rsidP="00F36BC6">
      <w:pPr>
        <w:ind w:firstLine="567"/>
        <w:rPr>
          <w:szCs w:val="28"/>
        </w:rPr>
      </w:pPr>
      <w:r>
        <w:rPr>
          <w:szCs w:val="28"/>
        </w:rPr>
        <w:t>1.1.7</w:t>
      </w:r>
      <w:r w:rsidRPr="0048285D">
        <w:rPr>
          <w:szCs w:val="28"/>
        </w:rPr>
        <w:t>. Проекти річних і перспективних планів прийому до аспірантури за державним замовленням розробляються відділом докторантури і аспірантури КНУБА, затверджуються МОН України у відповідності до діючого законодавства.</w:t>
      </w:r>
    </w:p>
    <w:p w:rsidR="00F36BC6" w:rsidRPr="0048285D" w:rsidRDefault="00F36BC6" w:rsidP="00F36BC6">
      <w:pPr>
        <w:ind w:firstLine="567"/>
        <w:rPr>
          <w:szCs w:val="28"/>
        </w:rPr>
      </w:pPr>
      <w:r>
        <w:rPr>
          <w:szCs w:val="28"/>
        </w:rPr>
        <w:t>1.1.8</w:t>
      </w:r>
      <w:r w:rsidRPr="0048285D">
        <w:rPr>
          <w:szCs w:val="28"/>
        </w:rPr>
        <w:t>. Кількість аспірантів, підготовка яких здійснюється поза державним замовленням, визначається ректором КНУБА з урахуванням можливостей забезпечення кваліфікованого наукового керівництва.</w:t>
      </w:r>
    </w:p>
    <w:p w:rsidR="00F36BC6" w:rsidRPr="0048285D" w:rsidRDefault="00F36BC6" w:rsidP="00F36BC6">
      <w:pPr>
        <w:ind w:firstLine="567"/>
        <w:rPr>
          <w:szCs w:val="28"/>
        </w:rPr>
      </w:pPr>
      <w:r>
        <w:rPr>
          <w:szCs w:val="28"/>
        </w:rPr>
        <w:t>1.1.9</w:t>
      </w:r>
      <w:r w:rsidRPr="0048285D">
        <w:rPr>
          <w:szCs w:val="28"/>
        </w:rPr>
        <w:t>. Не пізніше ніж за три місяці до початку прийому у засобах масової інформації розміщується оголошення про конкурсний прийом до аспірантури із зазначенням наукових спеціальностей, термінів та умов прийому, переліку необхідних документів.</w:t>
      </w:r>
    </w:p>
    <w:p w:rsidR="00F36BC6" w:rsidRPr="0048285D" w:rsidRDefault="00F36BC6" w:rsidP="00F36BC6">
      <w:pPr>
        <w:ind w:firstLine="720"/>
        <w:jc w:val="center"/>
        <w:rPr>
          <w:b/>
          <w:szCs w:val="28"/>
        </w:rPr>
      </w:pPr>
      <w:r w:rsidRPr="0048285D">
        <w:rPr>
          <w:b/>
          <w:caps/>
          <w:szCs w:val="28"/>
        </w:rPr>
        <w:t xml:space="preserve">1.2. </w:t>
      </w:r>
      <w:r w:rsidRPr="0048285D">
        <w:rPr>
          <w:b/>
          <w:szCs w:val="28"/>
        </w:rPr>
        <w:t>Терміни вступної кампанії і порядок прийому заяв і документів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1.2.1. Прийом заяв і документів, вступні іспити, конкурсний відбір та зарахування на навчання до аспірантури проводяться в такі терміни, наведені в таблиц</w:t>
      </w:r>
      <w:r>
        <w:rPr>
          <w:szCs w:val="28"/>
        </w:rPr>
        <w:t>ях</w:t>
      </w:r>
      <w:r w:rsidRPr="0048285D">
        <w:rPr>
          <w:szCs w:val="28"/>
        </w:rPr>
        <w:t xml:space="preserve"> 1.</w:t>
      </w:r>
    </w:p>
    <w:p w:rsidR="00F36BC6" w:rsidRDefault="00F36BC6" w:rsidP="00F36BC6">
      <w:pPr>
        <w:ind w:firstLine="720"/>
        <w:jc w:val="right"/>
        <w:rPr>
          <w:b/>
          <w:bCs/>
          <w:sz w:val="16"/>
          <w:szCs w:val="16"/>
        </w:rPr>
      </w:pPr>
    </w:p>
    <w:p w:rsidR="00F36BC6" w:rsidRPr="004362E8" w:rsidRDefault="00F36BC6" w:rsidP="00F36BC6">
      <w:pPr>
        <w:ind w:firstLine="720"/>
        <w:jc w:val="right"/>
        <w:rPr>
          <w:b/>
          <w:bCs/>
          <w:i/>
          <w:szCs w:val="28"/>
        </w:rPr>
      </w:pPr>
      <w:r w:rsidRPr="004362E8">
        <w:rPr>
          <w:b/>
          <w:bCs/>
          <w:i/>
          <w:szCs w:val="28"/>
        </w:rPr>
        <w:t>Таблиця 1</w:t>
      </w:r>
    </w:p>
    <w:p w:rsidR="00F36BC6" w:rsidRPr="005D78AF" w:rsidRDefault="00F36BC6" w:rsidP="00F36BC6">
      <w:pPr>
        <w:ind w:firstLine="0"/>
        <w:jc w:val="center"/>
        <w:rPr>
          <w:b/>
          <w:bCs/>
          <w:szCs w:val="28"/>
        </w:rPr>
      </w:pPr>
      <w:r w:rsidRPr="0048285D">
        <w:rPr>
          <w:b/>
          <w:bCs/>
          <w:szCs w:val="28"/>
        </w:rPr>
        <w:t xml:space="preserve">Терміни </w:t>
      </w:r>
      <w:r w:rsidRPr="005D78AF">
        <w:rPr>
          <w:b/>
          <w:bCs/>
          <w:szCs w:val="28"/>
        </w:rPr>
        <w:t xml:space="preserve">прийому документів, вступних випробувань </w:t>
      </w:r>
      <w:r>
        <w:rPr>
          <w:b/>
          <w:bCs/>
          <w:szCs w:val="28"/>
        </w:rPr>
        <w:br/>
      </w:r>
      <w:r w:rsidRPr="005D78AF">
        <w:rPr>
          <w:b/>
          <w:bCs/>
          <w:szCs w:val="28"/>
        </w:rPr>
        <w:t xml:space="preserve">та зарахування до аспірантури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5622"/>
      </w:tblGrid>
      <w:tr w:rsidR="00F36BC6" w:rsidRPr="005D78AF" w:rsidTr="00CA2D0D">
        <w:tc>
          <w:tcPr>
            <w:tcW w:w="4111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5D78AF">
              <w:rPr>
                <w:rFonts w:eastAsia="Calibri"/>
                <w:b/>
                <w:bCs/>
                <w:szCs w:val="28"/>
              </w:rPr>
              <w:t>Терміни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28"/>
              <w:jc w:val="center"/>
              <w:rPr>
                <w:rFonts w:eastAsia="Calibri"/>
                <w:b/>
                <w:bCs/>
                <w:szCs w:val="28"/>
              </w:rPr>
            </w:pPr>
            <w:r w:rsidRPr="005D78AF">
              <w:rPr>
                <w:rFonts w:eastAsia="Calibri"/>
                <w:b/>
                <w:bCs/>
                <w:szCs w:val="28"/>
              </w:rPr>
              <w:t>Етапи вступної кампанії</w:t>
            </w:r>
          </w:p>
        </w:tc>
      </w:tr>
      <w:tr w:rsidR="00F36BC6" w:rsidRPr="005D78AF" w:rsidTr="00CA2D0D">
        <w:tc>
          <w:tcPr>
            <w:tcW w:w="4111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5D78AF">
              <w:rPr>
                <w:rFonts w:eastAsia="Calibri"/>
                <w:szCs w:val="28"/>
              </w:rPr>
              <w:t>7 травня – 29 травня 2024 р.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5D78AF">
              <w:rPr>
                <w:rFonts w:eastAsia="Calibri"/>
                <w:szCs w:val="28"/>
              </w:rPr>
              <w:t>Реєстрація для складання єдиного вступного іспиту ЄВІ (основна сесія)</w:t>
            </w:r>
          </w:p>
        </w:tc>
      </w:tr>
      <w:tr w:rsidR="00F36BC6" w:rsidRPr="005D78AF" w:rsidTr="00CA2D0D">
        <w:tc>
          <w:tcPr>
            <w:tcW w:w="4111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D78AF">
              <w:rPr>
                <w:rFonts w:eastAsia="Calibri"/>
                <w:szCs w:val="28"/>
              </w:rPr>
              <w:lastRenderedPageBreak/>
              <w:t>24 червня – 15 липня 2024 р.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D78AF">
              <w:rPr>
                <w:rFonts w:eastAsia="Calibri"/>
                <w:szCs w:val="28"/>
              </w:rPr>
              <w:t xml:space="preserve">Складання єдиного вступного іспиту ЄВІ </w:t>
            </w:r>
          </w:p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D78AF">
              <w:rPr>
                <w:rFonts w:eastAsia="Calibri"/>
                <w:szCs w:val="28"/>
              </w:rPr>
              <w:t>(основна сесія)</w:t>
            </w:r>
          </w:p>
        </w:tc>
      </w:tr>
      <w:tr w:rsidR="00F36BC6" w:rsidRPr="005D78AF" w:rsidTr="00CA2D0D">
        <w:tc>
          <w:tcPr>
            <w:tcW w:w="4111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ascii="Calibri" w:eastAsia="Calibri" w:hAnsi="Calibri"/>
                <w:szCs w:val="28"/>
              </w:rPr>
            </w:pPr>
            <w:r w:rsidRPr="005D78AF">
              <w:rPr>
                <w:rFonts w:eastAsia="Calibri"/>
                <w:szCs w:val="28"/>
              </w:rPr>
              <w:t>22 липня – 23 серпня 2024 р.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ascii="Calibri" w:eastAsia="Calibri" w:hAnsi="Calibri"/>
                <w:szCs w:val="28"/>
              </w:rPr>
            </w:pPr>
            <w:r w:rsidRPr="005D78AF">
              <w:rPr>
                <w:rFonts w:eastAsia="Calibri"/>
                <w:szCs w:val="28"/>
              </w:rPr>
              <w:t>Прийом заяв і документів</w:t>
            </w:r>
          </w:p>
        </w:tc>
      </w:tr>
      <w:tr w:rsidR="00F36BC6" w:rsidRPr="005D78AF" w:rsidTr="00CA2D0D">
        <w:tc>
          <w:tcPr>
            <w:tcW w:w="4111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5D78AF">
              <w:rPr>
                <w:rFonts w:eastAsia="Calibri"/>
                <w:szCs w:val="28"/>
              </w:rPr>
              <w:t>26 серпня – 11 вересня 2024 р.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5D78AF">
              <w:rPr>
                <w:rFonts w:eastAsia="Calibri"/>
                <w:szCs w:val="28"/>
              </w:rPr>
              <w:t>Проведення вступних іспитів</w:t>
            </w:r>
          </w:p>
        </w:tc>
      </w:tr>
      <w:tr w:rsidR="00F36BC6" w:rsidRPr="005D78AF" w:rsidTr="00CA2D0D">
        <w:tc>
          <w:tcPr>
            <w:tcW w:w="4111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D78AF">
              <w:rPr>
                <w:rFonts w:eastAsia="Calibri"/>
                <w:szCs w:val="28"/>
              </w:rPr>
              <w:t>16 вересня – 20 вересня 2024 р.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5D78AF">
              <w:rPr>
                <w:rFonts w:eastAsia="Calibri"/>
                <w:szCs w:val="28"/>
              </w:rPr>
              <w:t>Терміни оприлюднення рейтингового списку вступників та рекомендованих до зарахування за кошти державного бюджету</w:t>
            </w:r>
          </w:p>
        </w:tc>
      </w:tr>
      <w:tr w:rsidR="00F36BC6" w:rsidRPr="005D78AF" w:rsidTr="00CA2D0D">
        <w:tc>
          <w:tcPr>
            <w:tcW w:w="4111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5D78AF">
              <w:rPr>
                <w:rFonts w:eastAsia="Calibri"/>
                <w:szCs w:val="28"/>
              </w:rPr>
              <w:t>01 жовтня 2024 р.</w:t>
            </w:r>
          </w:p>
        </w:tc>
        <w:tc>
          <w:tcPr>
            <w:tcW w:w="5747" w:type="dxa"/>
            <w:shd w:val="clear" w:color="auto" w:fill="auto"/>
            <w:vAlign w:val="center"/>
          </w:tcPr>
          <w:p w:rsidR="00F36BC6" w:rsidRPr="005D78AF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5D78AF">
              <w:rPr>
                <w:rFonts w:eastAsia="Calibri"/>
                <w:szCs w:val="28"/>
              </w:rPr>
              <w:t>Зарахування вступників</w:t>
            </w:r>
          </w:p>
        </w:tc>
      </w:tr>
    </w:tbl>
    <w:p w:rsidR="00F36BC6" w:rsidRPr="005D78AF" w:rsidRDefault="00F36BC6" w:rsidP="00F36BC6">
      <w:pPr>
        <w:ind w:firstLine="720"/>
        <w:jc w:val="right"/>
        <w:rPr>
          <w:b/>
          <w:bCs/>
          <w:sz w:val="16"/>
          <w:szCs w:val="16"/>
        </w:rPr>
      </w:pP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1.2.2. Вступники до аспірантури подають такі документи: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1) заяву на ім’я ректора;</w:t>
      </w:r>
    </w:p>
    <w:p w:rsidR="00F36BC6" w:rsidRPr="0048285D" w:rsidRDefault="00F36BC6" w:rsidP="00F36BC6">
      <w:pPr>
        <w:ind w:firstLine="567"/>
        <w:rPr>
          <w:szCs w:val="28"/>
        </w:rPr>
      </w:pPr>
      <w:r w:rsidRPr="005D78AF">
        <w:rPr>
          <w:szCs w:val="28"/>
        </w:rPr>
        <w:t>2) копію екзаменаційного листка та інформаційну картку учасника ЄВІ;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3)</w:t>
      </w:r>
      <w:r>
        <w:rPr>
          <w:szCs w:val="28"/>
        </w:rPr>
        <w:t xml:space="preserve"> </w:t>
      </w:r>
      <w:r w:rsidRPr="0048285D">
        <w:rPr>
          <w:szCs w:val="28"/>
        </w:rPr>
        <w:t>особовий листок з обліку кадрів з фотокарткою;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4) список опублікованих наукових праць і винаходів. Вступники, які не мають опублікованих наукових праць і винаходів, подають наукові доповіді (реферати) з обраної ними наукової спеціальності з обов’язковою рецензією на них провідних фахівців в цій галузі, в яких має бути зазначена оцінка роботи, що здійснюється за 100-бальною шкалою, яка переводиться відповідно в національну шкалу («відмінно» – 90-100 балів; «добре» – 74-89; «задовільно» – 60-73; «незадовільно» – 1-59);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5) копію військово-облікового документа «для військовозобов’язаних - військового квитка або тимчасового посвідчення військовозобов’язаного, а для призовників - посвідчення про приписку до призовних дільниць, (</w:t>
      </w:r>
      <w:r w:rsidRPr="0048285D">
        <w:rPr>
          <w:bCs/>
          <w:szCs w:val="28"/>
          <w:lang w:eastAsia="uk-UA"/>
        </w:rPr>
        <w:t xml:space="preserve">відповідно до пункту 34 </w:t>
      </w:r>
      <w:r w:rsidRPr="0048285D">
        <w:rPr>
          <w:szCs w:val="28"/>
          <w:lang w:eastAsia="uk-UA"/>
        </w:rPr>
        <w:t xml:space="preserve">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</w:t>
      </w:r>
      <w:r w:rsidRPr="0048285D">
        <w:rPr>
          <w:bCs/>
          <w:szCs w:val="28"/>
          <w:lang w:eastAsia="uk-UA"/>
        </w:rPr>
        <w:t>від 30 грудня 2022 р. № 1487)</w:t>
      </w:r>
      <w:r w:rsidRPr="0048285D">
        <w:rPr>
          <w:szCs w:val="28"/>
        </w:rPr>
        <w:t>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6) завірену копію диплома (при наявності оригіналу) про закінчення вищого навчального закладу із зазначенням одержаної кваліфікації магістра (особи, які здобули відповідну освіту за кордоном, копію </w:t>
      </w:r>
      <w:proofErr w:type="spellStart"/>
      <w:r w:rsidRPr="0048285D">
        <w:rPr>
          <w:szCs w:val="28"/>
        </w:rPr>
        <w:t>нострифікованого</w:t>
      </w:r>
      <w:proofErr w:type="spellEnd"/>
      <w:r w:rsidRPr="0048285D">
        <w:rPr>
          <w:szCs w:val="28"/>
        </w:rPr>
        <w:t xml:space="preserve"> диплома) та копію додатку до диплома;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7) копію перших двох сторінок паспорту та сторінку з пропискою;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8) копію індивідуального ідентифікаційного номеру;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9) копію свідоцтва про шлюб чи свідоцтва про зміну імені (прізвища, власного імені, по батькові, для осіб які мають розбіжності у документах);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10) автобіографія;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11) фотокартку 3х4 см;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12) міжнародний сертифікат з іноземної мови (на вибір: англійська, німецька або французька), який засвідчує рівні В2 (за наявності);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13) рекомендацію Вченої ради вищого навчального закладу (за наявності).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За відсутності повного переліку документів або подання їх після закінчення встановленого терміну прийому документів, вступник не допускається до участі у складанні вступних іспитів до аспірантури.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lastRenderedPageBreak/>
        <w:t>1.2.3. Вступники до аспірантури можуть подавати документи для вступу не більше, ніж на дві спеціальності.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У тому випадку, коли вступник до аспірантури рекомендується до вступу в аспірантуру за результатами конкурсу одразу за двома спеціальностями</w:t>
      </w:r>
      <w:r w:rsidRPr="009F1E28">
        <w:rPr>
          <w:szCs w:val="28"/>
        </w:rPr>
        <w:t xml:space="preserve">, опановувати </w:t>
      </w:r>
      <w:proofErr w:type="spellStart"/>
      <w:r w:rsidRPr="0048285D">
        <w:rPr>
          <w:szCs w:val="28"/>
        </w:rPr>
        <w:t>освітньо</w:t>
      </w:r>
      <w:proofErr w:type="spellEnd"/>
      <w:r w:rsidRPr="0048285D">
        <w:rPr>
          <w:szCs w:val="28"/>
        </w:rPr>
        <w:t>-наукову програму підготовки доктора філософії за рахунок державного бюджету він може лише за однією спеціальністю, а за іншою - на умовах контракту.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1.2.4. Наукові доповіді - це науковий текст обсягом до 20 </w:t>
      </w:r>
      <w:proofErr w:type="spellStart"/>
      <w:r w:rsidRPr="0048285D">
        <w:rPr>
          <w:szCs w:val="28"/>
        </w:rPr>
        <w:t>стор</w:t>
      </w:r>
      <w:proofErr w:type="spellEnd"/>
      <w:r w:rsidRPr="0048285D">
        <w:rPr>
          <w:szCs w:val="28"/>
        </w:rPr>
        <w:t>., підготовлений вступником до аспірантури, в якому обґрунтовується тематика майбутнього дисертаційного дослідження, його актуальність, стан розробки у вітчизняній та зарубіжній науці, можливі шляхи розв'язання поставлених наукових задач.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Вимоги до наукової доповіді (реферату) формують кафедри відповідно до особливостей кожної наукової спеціальності.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1.2.5. Довідка з основного місця роботи про працевлаштування не більше ніж на 0,5 ставки або Трудова книжка (за наявності) із записом про звільнення з останнього місця роботи у зв’язку зі вступом до аспірантури на денну форму навчання для нарахування стипендії подаються аспірантом особисто в десятиденний термін після зарахування.</w:t>
      </w:r>
    </w:p>
    <w:p w:rsidR="00F36BC6" w:rsidRPr="0048285D" w:rsidRDefault="00F36BC6" w:rsidP="00F36BC6">
      <w:pPr>
        <w:rPr>
          <w:szCs w:val="28"/>
        </w:rPr>
      </w:pPr>
    </w:p>
    <w:p w:rsidR="00F36BC6" w:rsidRPr="0048285D" w:rsidRDefault="00F36BC6" w:rsidP="00F36BC6">
      <w:pPr>
        <w:jc w:val="center"/>
        <w:rPr>
          <w:b/>
          <w:szCs w:val="28"/>
        </w:rPr>
      </w:pPr>
      <w:r w:rsidRPr="0048285D">
        <w:rPr>
          <w:b/>
          <w:szCs w:val="28"/>
        </w:rPr>
        <w:t>1.3. Розгляд поданих документів і допуск до вступних випробувань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1.3.1. Для проведення прийому до аспірантури створюється приймальна комісія під головуванням ректора КНУБА. Члени приймальної комісії призначаються ректором з числа деканів, завідувачів кафедр та інших підрозділів.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1.3.2. Рішення про допуск до складання вступних іспитів до аспірантури виноситься приймальною комісією за результатами співбесіди, розгляду реферату або поданих наукових праць з урахуванням письмового висновку передбачуваного наукового керівника, про що вступник до аспірантури повідомляється у тижневий термін.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1.3.3. Приймальна комісія може відмовити вступнику у допуску до складання вступних іспитів до аспірантури у зв'язку з неподанням у встановлений термін всіх або окремих документів, названих у пункті 1.2.2 цих Правил, або поданням їх після закінчення встановленого терміну.</w:t>
      </w:r>
    </w:p>
    <w:p w:rsidR="00F36BC6" w:rsidRPr="0048285D" w:rsidRDefault="00F36BC6" w:rsidP="00F36BC6">
      <w:pPr>
        <w:ind w:firstLine="720"/>
        <w:jc w:val="center"/>
        <w:rPr>
          <w:b/>
          <w:szCs w:val="28"/>
        </w:rPr>
      </w:pPr>
      <w:r w:rsidRPr="0048285D">
        <w:rPr>
          <w:b/>
          <w:szCs w:val="28"/>
        </w:rPr>
        <w:t>1.4. Проведення вступних іспитів та конкурсний відбір</w:t>
      </w:r>
    </w:p>
    <w:p w:rsidR="00F36BC6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1.4.1. Для конкурсного відбору осіб, які вступають на навчання для здобуття ступеня доктора філософії / доктора мистецтва (в </w:t>
      </w:r>
      <w:proofErr w:type="spellStart"/>
      <w:r w:rsidRPr="0048285D">
        <w:rPr>
          <w:szCs w:val="28"/>
        </w:rPr>
        <w:t>асистентурі</w:t>
      </w:r>
      <w:proofErr w:type="spellEnd"/>
      <w:r w:rsidRPr="0048285D">
        <w:rPr>
          <w:szCs w:val="28"/>
        </w:rPr>
        <w:t xml:space="preserve">-стажуванні), зараховуються бали вступних іспитів зі спеціальності та іноземної мови, а також результати інших форм вступних випробувань (у формі іспитів, співбесід, презентацій дослідницьких пропозицій чи досягнень), якщо вони передбачені Правилами прийому. 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Умовою допуску до вступного іспиту з іноземної мови є успішне складання ЄВІ в 2023 році з оцінкою за тест з іноземної мови не менше ніж 130 балів</w:t>
      </w:r>
      <w:r>
        <w:rPr>
          <w:szCs w:val="28"/>
        </w:rPr>
        <w:t xml:space="preserve"> </w:t>
      </w:r>
      <w:r w:rsidRPr="005D78AF">
        <w:rPr>
          <w:szCs w:val="28"/>
        </w:rPr>
        <w:t xml:space="preserve">та за </w:t>
      </w:r>
      <w:r w:rsidRPr="005D78AF">
        <w:rPr>
          <w:szCs w:val="28"/>
        </w:rPr>
        <w:lastRenderedPageBreak/>
        <w:t>тест загальної навчальної компетенції (ТЗНК) не менше ніж 100 балів</w:t>
      </w:r>
      <w:r>
        <w:rPr>
          <w:szCs w:val="28"/>
        </w:rPr>
        <w:t xml:space="preserve"> </w:t>
      </w:r>
      <w:r w:rsidRPr="0048285D">
        <w:rPr>
          <w:szCs w:val="28"/>
        </w:rPr>
        <w:t>або 2024 році з оцінкою за тест з іноземної мови не менше ніж 1</w:t>
      </w:r>
      <w:r>
        <w:rPr>
          <w:szCs w:val="28"/>
        </w:rPr>
        <w:t>0</w:t>
      </w:r>
      <w:r w:rsidRPr="0048285D">
        <w:rPr>
          <w:szCs w:val="28"/>
        </w:rPr>
        <w:t>0 балів</w:t>
      </w:r>
      <w:r>
        <w:rPr>
          <w:szCs w:val="28"/>
        </w:rPr>
        <w:t xml:space="preserve"> </w:t>
      </w:r>
      <w:r w:rsidRPr="005D78AF">
        <w:rPr>
          <w:szCs w:val="28"/>
        </w:rPr>
        <w:t>та за тест загальної навчальної компетенції (ТЗНК) не менше ніж 1</w:t>
      </w:r>
      <w:r>
        <w:rPr>
          <w:szCs w:val="28"/>
        </w:rPr>
        <w:t>6</w:t>
      </w:r>
      <w:r w:rsidRPr="005D78AF">
        <w:rPr>
          <w:szCs w:val="28"/>
        </w:rPr>
        <w:t>0 балів.</w:t>
      </w:r>
      <w:r w:rsidRPr="0048285D">
        <w:rPr>
          <w:szCs w:val="28"/>
        </w:rPr>
        <w:t xml:space="preserve"> 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1.4.2. Вступник, який підтвердив свій рівень знання англійської мови дійсним сертифікатом тестів TOEFL, або </w:t>
      </w:r>
      <w:proofErr w:type="spellStart"/>
      <w:r w:rsidRPr="0048285D">
        <w:rPr>
          <w:szCs w:val="28"/>
        </w:rPr>
        <w:t>International</w:t>
      </w:r>
      <w:proofErr w:type="spellEnd"/>
      <w:r w:rsidRPr="0048285D">
        <w:rPr>
          <w:szCs w:val="28"/>
        </w:rPr>
        <w:t xml:space="preserve"> </w:t>
      </w:r>
      <w:proofErr w:type="spellStart"/>
      <w:r w:rsidRPr="0048285D">
        <w:rPr>
          <w:szCs w:val="28"/>
        </w:rPr>
        <w:t>English</w:t>
      </w:r>
      <w:proofErr w:type="spellEnd"/>
      <w:r w:rsidRPr="0048285D">
        <w:rPr>
          <w:szCs w:val="28"/>
        </w:rPr>
        <w:t xml:space="preserve"> </w:t>
      </w:r>
      <w:proofErr w:type="spellStart"/>
      <w:r w:rsidRPr="0048285D">
        <w:rPr>
          <w:szCs w:val="28"/>
        </w:rPr>
        <w:t>Language</w:t>
      </w:r>
      <w:proofErr w:type="spellEnd"/>
      <w:r w:rsidRPr="0048285D">
        <w:rPr>
          <w:szCs w:val="28"/>
        </w:rPr>
        <w:t xml:space="preserve"> </w:t>
      </w:r>
      <w:proofErr w:type="spellStart"/>
      <w:r w:rsidRPr="0048285D">
        <w:rPr>
          <w:szCs w:val="28"/>
        </w:rPr>
        <w:t>Testing</w:t>
      </w:r>
      <w:proofErr w:type="spellEnd"/>
      <w:r w:rsidRPr="0048285D">
        <w:rPr>
          <w:szCs w:val="28"/>
        </w:rPr>
        <w:t xml:space="preserve"> </w:t>
      </w:r>
      <w:proofErr w:type="spellStart"/>
      <w:r w:rsidRPr="0048285D">
        <w:rPr>
          <w:szCs w:val="28"/>
        </w:rPr>
        <w:t>System</w:t>
      </w:r>
      <w:proofErr w:type="spellEnd"/>
      <w:r w:rsidRPr="0048285D">
        <w:rPr>
          <w:szCs w:val="28"/>
        </w:rPr>
        <w:t xml:space="preserve">, або сертифікатом </w:t>
      </w:r>
      <w:proofErr w:type="spellStart"/>
      <w:r w:rsidRPr="0048285D">
        <w:rPr>
          <w:szCs w:val="28"/>
        </w:rPr>
        <w:t>Cambridge</w:t>
      </w:r>
      <w:proofErr w:type="spellEnd"/>
      <w:r w:rsidRPr="0048285D">
        <w:rPr>
          <w:szCs w:val="28"/>
        </w:rPr>
        <w:t xml:space="preserve"> </w:t>
      </w:r>
      <w:proofErr w:type="spellStart"/>
      <w:r w:rsidRPr="0048285D">
        <w:rPr>
          <w:szCs w:val="28"/>
        </w:rPr>
        <w:t>English</w:t>
      </w:r>
      <w:proofErr w:type="spellEnd"/>
      <w:r w:rsidRPr="0048285D">
        <w:rPr>
          <w:szCs w:val="28"/>
        </w:rPr>
        <w:t xml:space="preserve"> </w:t>
      </w:r>
      <w:proofErr w:type="spellStart"/>
      <w:r w:rsidRPr="0048285D">
        <w:rPr>
          <w:szCs w:val="28"/>
        </w:rPr>
        <w:t>Language</w:t>
      </w:r>
      <w:proofErr w:type="spellEnd"/>
      <w:r w:rsidRPr="0048285D">
        <w:rPr>
          <w:szCs w:val="28"/>
        </w:rPr>
        <w:t xml:space="preserve"> </w:t>
      </w:r>
      <w:proofErr w:type="spellStart"/>
      <w:r w:rsidRPr="0048285D">
        <w:rPr>
          <w:szCs w:val="28"/>
        </w:rPr>
        <w:t>Assessment</w:t>
      </w:r>
      <w:proofErr w:type="spellEnd"/>
      <w:r w:rsidRPr="0048285D">
        <w:rPr>
          <w:szCs w:val="28"/>
        </w:rPr>
        <w:t xml:space="preserve"> (не нижче рівня B2 Загальноєвропейських рекомендацій з </w:t>
      </w:r>
      <w:proofErr w:type="spellStart"/>
      <w:r w:rsidRPr="0048285D">
        <w:rPr>
          <w:szCs w:val="28"/>
        </w:rPr>
        <w:t>мовної</w:t>
      </w:r>
      <w:proofErr w:type="spellEnd"/>
      <w:r w:rsidRPr="0048285D">
        <w:rPr>
          <w:szCs w:val="28"/>
        </w:rPr>
        <w:t xml:space="preserve"> освіти чи аналогічного рівня); німецької мови – дійсним сертифікатом </w:t>
      </w:r>
      <w:proofErr w:type="spellStart"/>
      <w:r w:rsidRPr="0048285D">
        <w:rPr>
          <w:szCs w:val="28"/>
        </w:rPr>
        <w:t>TestDaF</w:t>
      </w:r>
      <w:proofErr w:type="spellEnd"/>
      <w:r w:rsidRPr="0048285D">
        <w:rPr>
          <w:szCs w:val="28"/>
        </w:rPr>
        <w:t xml:space="preserve"> (не нижче рівня B2 Загальноєвропейських рекомендацій з </w:t>
      </w:r>
      <w:proofErr w:type="spellStart"/>
      <w:r w:rsidRPr="0048285D">
        <w:rPr>
          <w:szCs w:val="28"/>
        </w:rPr>
        <w:t>мовної</w:t>
      </w:r>
      <w:proofErr w:type="spellEnd"/>
      <w:r w:rsidRPr="0048285D">
        <w:rPr>
          <w:szCs w:val="28"/>
        </w:rPr>
        <w:t xml:space="preserve"> освіти чи аналогічного рівня); французької мови – дійсним сертифікатом тесту DELF або DALF (не нижче рівня B2 Загальноєвропейських рекомендацій з </w:t>
      </w:r>
      <w:proofErr w:type="spellStart"/>
      <w:r w:rsidRPr="0048285D">
        <w:rPr>
          <w:szCs w:val="28"/>
        </w:rPr>
        <w:t>мовної</w:t>
      </w:r>
      <w:proofErr w:type="spellEnd"/>
      <w:r w:rsidRPr="0048285D">
        <w:rPr>
          <w:szCs w:val="28"/>
        </w:rPr>
        <w:t xml:space="preserve"> освіти чи аналогічного рівня), звільняється від складання вступного іспиту з іноземної мови.</w:t>
      </w:r>
      <w:r>
        <w:rPr>
          <w:szCs w:val="28"/>
        </w:rPr>
        <w:t xml:space="preserve"> </w:t>
      </w:r>
      <w:r w:rsidRPr="0048285D">
        <w:rPr>
          <w:szCs w:val="28"/>
        </w:rPr>
        <w:t>Під час визначення результатів конкурсу зазначені сертифікати прирівнюються до результатів вступного іспиту з іноземної мови з найвищим балом</w:t>
      </w:r>
      <w:r>
        <w:rPr>
          <w:szCs w:val="28"/>
        </w:rPr>
        <w:t xml:space="preserve"> </w:t>
      </w:r>
      <w:r w:rsidRPr="0048285D">
        <w:rPr>
          <w:szCs w:val="28"/>
        </w:rPr>
        <w:t>(«відмінно» – 100 балів).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1.4.3. Вступники до аспірантури складають вступні іспити в КНУБА: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- з іноземної мови на вибір (англійської, німецької, іспанської, італійської, французької) за програмою, яка відповідає рівню В2 загальноєвропейських рекомендацій з </w:t>
      </w:r>
      <w:proofErr w:type="spellStart"/>
      <w:r w:rsidRPr="0048285D">
        <w:rPr>
          <w:szCs w:val="28"/>
        </w:rPr>
        <w:t>мовної</w:t>
      </w:r>
      <w:proofErr w:type="spellEnd"/>
      <w:r w:rsidRPr="0048285D">
        <w:rPr>
          <w:szCs w:val="28"/>
        </w:rPr>
        <w:t xml:space="preserve"> освіти;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додаткове випробування (призначається вступникам за рішенням Приймальної комісії);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- із спеціальності (в обсязі </w:t>
      </w:r>
      <w:proofErr w:type="spellStart"/>
      <w:r w:rsidRPr="0048285D">
        <w:rPr>
          <w:szCs w:val="28"/>
        </w:rPr>
        <w:t>освітньо</w:t>
      </w:r>
      <w:proofErr w:type="spellEnd"/>
      <w:r w:rsidRPr="0048285D">
        <w:rPr>
          <w:szCs w:val="28"/>
        </w:rPr>
        <w:t>-наукової програми для магістра з відповідної наукової спеціальності, складається з двох блоків і оцінюється за шкалою від 100 до 200 балів).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1.4.4. Послідовність складання вступних іспитів: іноземна мова, додаткове випробування, обрана спеціальність.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1.4.</w:t>
      </w:r>
      <w:r>
        <w:rPr>
          <w:szCs w:val="28"/>
        </w:rPr>
        <w:t>5</w:t>
      </w:r>
      <w:r w:rsidRPr="0048285D">
        <w:rPr>
          <w:szCs w:val="28"/>
        </w:rPr>
        <w:t>. Відповідно до Правил прийому особам, які вступають для здобуття ступеня доктора філософії</w:t>
      </w:r>
      <w:r>
        <w:rPr>
          <w:szCs w:val="28"/>
        </w:rPr>
        <w:t xml:space="preserve"> </w:t>
      </w:r>
      <w:r w:rsidRPr="0048285D">
        <w:rPr>
          <w:szCs w:val="28"/>
        </w:rPr>
        <w:t>/</w:t>
      </w:r>
      <w:r>
        <w:rPr>
          <w:szCs w:val="28"/>
        </w:rPr>
        <w:t xml:space="preserve"> </w:t>
      </w:r>
      <w:r w:rsidRPr="0048285D">
        <w:rPr>
          <w:szCs w:val="28"/>
        </w:rPr>
        <w:t>доктора мистецтва до аспірантури з іншої галузі знань (спеціальності) ніж та, яка зазначена в їх дипломі магістра (спеціаліста), можуть бути призначені додаткові вступні випробування, за рішенням Приймальної комісії.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Додаткове вступне випробування передує вступному іспиту з спеціальності. Оцінювання додаткового вступного випробування відбувається за двобальною шкалою: «зараховано» або «не зараховано». У тому випадку, коли за додаткове вступне випробування вступник отримав оцінку «не задовільно», він не допускається до наступного вступного іспиту і позбавляється брати участь в конкурсі. 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1.4.</w:t>
      </w:r>
      <w:r>
        <w:rPr>
          <w:szCs w:val="28"/>
        </w:rPr>
        <w:t>6</w:t>
      </w:r>
      <w:r w:rsidRPr="0048285D">
        <w:rPr>
          <w:szCs w:val="28"/>
        </w:rPr>
        <w:t>. Результати вступних випробувань до аспірантури дійсні для вступу до відповідного вищого навчального закладу протягом календарного року.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1.4.</w:t>
      </w:r>
      <w:r>
        <w:rPr>
          <w:szCs w:val="28"/>
        </w:rPr>
        <w:t>7</w:t>
      </w:r>
      <w:r w:rsidRPr="0048285D">
        <w:rPr>
          <w:szCs w:val="28"/>
        </w:rPr>
        <w:t xml:space="preserve">. Оцінювання вступних екзаменів з: іноземної мови, спеціальності здійснюється за 100-бальною шкалою, яка переводиться відповідно в національну шкалу («відмінно» – 90-100 балів; «добре» – 74-89; «задовільно» – 60-73; </w:t>
      </w:r>
      <w:r w:rsidRPr="0048285D">
        <w:rPr>
          <w:szCs w:val="28"/>
        </w:rPr>
        <w:lastRenderedPageBreak/>
        <w:t>«незадовільно» – 1-59); додаткове випробування здійснюється за двобальною шкалою («зараховано» або «не зараховано»).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1.4.</w:t>
      </w:r>
      <w:r>
        <w:rPr>
          <w:szCs w:val="28"/>
        </w:rPr>
        <w:t>8</w:t>
      </w:r>
      <w:r w:rsidRPr="0048285D">
        <w:rPr>
          <w:szCs w:val="28"/>
        </w:rPr>
        <w:t xml:space="preserve">. Вступники, які без поважних причин не з`явилися на вступні екзамени у зазначений розкладом час, а також ті, знання яких було оцінено як «незадовільно» (нижче 60 балів), до участі в наступних вступних екзаменах не допускаються. 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1.4.</w:t>
      </w:r>
      <w:r>
        <w:rPr>
          <w:szCs w:val="28"/>
        </w:rPr>
        <w:t>9</w:t>
      </w:r>
      <w:r w:rsidRPr="0048285D">
        <w:rPr>
          <w:szCs w:val="28"/>
        </w:rPr>
        <w:t>. Повторне складання вступних екзаменів не дозволяється.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1.4.1</w:t>
      </w:r>
      <w:r>
        <w:rPr>
          <w:szCs w:val="28"/>
        </w:rPr>
        <w:t>0</w:t>
      </w:r>
      <w:r w:rsidRPr="0048285D">
        <w:rPr>
          <w:szCs w:val="28"/>
        </w:rPr>
        <w:t>. Прийом вступних іспитів до аспірантури проводиться предметними комісіями, як правило, у кількості 3-5 осіб, які призначаються ректором Університету, до складу яких включаються доктори та кандидати наук, а до складу предметної комісії із наукової спеціальності і передбачувані наукові керівники. До складу предметної комісії з іноземної мови можуть включатися також доценти та висококваліфіковані викладачі, які не мають наукового ступеня і вченого звання.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1.4.1</w:t>
      </w:r>
      <w:r>
        <w:rPr>
          <w:szCs w:val="28"/>
        </w:rPr>
        <w:t>1</w:t>
      </w:r>
      <w:r w:rsidRPr="0048285D">
        <w:rPr>
          <w:szCs w:val="28"/>
        </w:rPr>
        <w:t>. На підставі результатів вступних іспитів до аспірантури приймальна комісія приймає рішення щодо кожного вступника.</w:t>
      </w:r>
    </w:p>
    <w:p w:rsidR="00F36BC6" w:rsidRPr="0048285D" w:rsidRDefault="00F36BC6" w:rsidP="00F36BC6">
      <w:pPr>
        <w:ind w:firstLine="567"/>
        <w:rPr>
          <w:szCs w:val="28"/>
        </w:rPr>
      </w:pPr>
      <w:r>
        <w:rPr>
          <w:szCs w:val="28"/>
        </w:rPr>
        <w:t>1.4.12</w:t>
      </w:r>
      <w:r w:rsidRPr="0048285D">
        <w:rPr>
          <w:szCs w:val="28"/>
        </w:rPr>
        <w:t>. У разі одержання однакової суми балів переважне право при зарахуванні до аспірантури мають вступники, які: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рекомендовані до вступу вченою радою вищого навчального закладу;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одержали більший бал при складанні вступного іспиту із спеціальності;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успішно закінчили магістратуру;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мають наукові публікації.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1.4.1</w:t>
      </w:r>
      <w:r>
        <w:rPr>
          <w:szCs w:val="28"/>
        </w:rPr>
        <w:t>3</w:t>
      </w:r>
      <w:r w:rsidRPr="0048285D">
        <w:rPr>
          <w:szCs w:val="28"/>
        </w:rPr>
        <w:t>. Зарахування відбувається згідно рейтингового списку вступників до аспірантури, які рекомендуються до зарахування, впорядковується за конкурсним балом від більшого до меншого.</w:t>
      </w:r>
    </w:p>
    <w:p w:rsidR="00F36BC6" w:rsidRPr="0048285D" w:rsidRDefault="00F36BC6" w:rsidP="00F36BC6">
      <w:pPr>
        <w:ind w:firstLine="567"/>
        <w:rPr>
          <w:szCs w:val="28"/>
        </w:rPr>
      </w:pPr>
      <w:r>
        <w:rPr>
          <w:szCs w:val="28"/>
        </w:rPr>
        <w:t>1.4.14</w:t>
      </w:r>
      <w:r w:rsidRPr="0048285D">
        <w:rPr>
          <w:szCs w:val="28"/>
        </w:rPr>
        <w:t>. Після закінчення прийому до аспірантури у п'ятиденний термін подається до МОН України звіт про виконання плану прийому до аспірантури за рахунок державного замовлення.</w:t>
      </w:r>
    </w:p>
    <w:p w:rsidR="00F36BC6" w:rsidRPr="0048285D" w:rsidRDefault="00F36BC6" w:rsidP="00F36BC6">
      <w:pPr>
        <w:ind w:firstLine="567"/>
        <w:rPr>
          <w:szCs w:val="28"/>
        </w:rPr>
      </w:pPr>
      <w:r>
        <w:rPr>
          <w:szCs w:val="28"/>
        </w:rPr>
        <w:t>1.4.15</w:t>
      </w:r>
      <w:r w:rsidRPr="0048285D">
        <w:rPr>
          <w:szCs w:val="28"/>
        </w:rPr>
        <w:t>. Зарахування до аспірантури проводиться наказом ректора КНУБА.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Про зарахування до аспірантури або про відмову в зарахуванні до аспірантури вступнику повідомляється в п'ятиденний термін з дня прийняття приймальною комісією відповідного рішення.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Кожному аспіранту одночасно з його зарахуванням відповідним наказом ректора призначається науковий керівник, як правило, доктор наук або за рішенням вченої ради, як виняток, кандидат наук.</w:t>
      </w:r>
    </w:p>
    <w:p w:rsidR="00F36BC6" w:rsidRPr="0048285D" w:rsidRDefault="00F36BC6" w:rsidP="00F36BC6">
      <w:pPr>
        <w:ind w:firstLine="567"/>
        <w:rPr>
          <w:szCs w:val="28"/>
        </w:rPr>
      </w:pPr>
      <w:r>
        <w:rPr>
          <w:szCs w:val="28"/>
        </w:rPr>
        <w:t>1.4.16</w:t>
      </w:r>
      <w:r w:rsidRPr="0048285D">
        <w:rPr>
          <w:szCs w:val="28"/>
        </w:rPr>
        <w:t>. Науковий керівник аспіранта здійснює наукове керівництво роботою над дисертацією, контролює виконання індивідуального плану та несе особисту відповідальність за якісне написання аспірантом дисертації.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Кількість аспірантів, прикріплених до наукового керівника – доктора наук, не повинна перевищувати 5 осіб одночасно (разом з докторантами), а для наукового керівника – кандидата наук – 3 осіб, включаючи аспірантів та докторантів, підготовка яких здійснюється поза державним замовленням.</w:t>
      </w:r>
    </w:p>
    <w:p w:rsidR="00F36BC6" w:rsidRPr="0048285D" w:rsidRDefault="00F36BC6" w:rsidP="00F36BC6">
      <w:pPr>
        <w:ind w:firstLine="720"/>
        <w:jc w:val="center"/>
        <w:rPr>
          <w:b/>
          <w:szCs w:val="28"/>
        </w:rPr>
      </w:pPr>
    </w:p>
    <w:p w:rsidR="00F36BC6" w:rsidRPr="0048285D" w:rsidRDefault="00F36BC6" w:rsidP="00F36BC6">
      <w:pPr>
        <w:ind w:firstLine="720"/>
        <w:jc w:val="center"/>
        <w:rPr>
          <w:b/>
          <w:caps/>
          <w:szCs w:val="28"/>
        </w:rPr>
      </w:pPr>
      <w:r w:rsidRPr="0048285D">
        <w:rPr>
          <w:b/>
          <w:szCs w:val="28"/>
        </w:rPr>
        <w:lastRenderedPageBreak/>
        <w:t>1.5. Перелік галузей знань, спеціальностей і спеціалізацій, за якими здійснюється підготовка докторів філософії через аспірантуру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491"/>
        <w:gridCol w:w="2864"/>
        <w:gridCol w:w="3969"/>
      </w:tblGrid>
      <w:tr w:rsidR="00F36BC6" w:rsidRPr="0048285D" w:rsidTr="00F36BC6">
        <w:tc>
          <w:tcPr>
            <w:tcW w:w="594" w:type="dxa"/>
            <w:shd w:val="clear" w:color="auto" w:fill="auto"/>
            <w:vAlign w:val="center"/>
          </w:tcPr>
          <w:p w:rsidR="00F36BC6" w:rsidRPr="0048285D" w:rsidRDefault="00F36BC6" w:rsidP="00CA2D0D">
            <w:pPr>
              <w:pStyle w:val="a4"/>
              <w:spacing w:before="0"/>
              <w:ind w:firstLine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8285D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F36BC6" w:rsidRPr="0048285D" w:rsidRDefault="00F36BC6" w:rsidP="00CA2D0D">
            <w:pPr>
              <w:pStyle w:val="a4"/>
              <w:spacing w:before="0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285D">
              <w:rPr>
                <w:rFonts w:eastAsia="Calibri"/>
                <w:b/>
                <w:sz w:val="28"/>
                <w:szCs w:val="28"/>
              </w:rPr>
              <w:t>Галузь знань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pStyle w:val="a4"/>
              <w:spacing w:before="0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285D">
              <w:rPr>
                <w:rFonts w:eastAsia="Calibri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pStyle w:val="a4"/>
              <w:spacing w:before="0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285D">
              <w:rPr>
                <w:rFonts w:eastAsia="Calibri"/>
                <w:b/>
                <w:sz w:val="28"/>
                <w:szCs w:val="28"/>
              </w:rPr>
              <w:t xml:space="preserve">Наявність акредитація на </w:t>
            </w:r>
            <w:proofErr w:type="spellStart"/>
            <w:r w:rsidRPr="0048285D">
              <w:rPr>
                <w:rFonts w:eastAsia="Calibri"/>
                <w:b/>
                <w:sz w:val="28"/>
                <w:szCs w:val="28"/>
              </w:rPr>
              <w:t>освітньо</w:t>
            </w:r>
            <w:proofErr w:type="spellEnd"/>
            <w:r w:rsidRPr="0048285D">
              <w:rPr>
                <w:rFonts w:eastAsia="Calibri"/>
                <w:b/>
                <w:sz w:val="28"/>
                <w:szCs w:val="28"/>
              </w:rPr>
              <w:t>-наукову програму</w:t>
            </w:r>
          </w:p>
        </w:tc>
      </w:tr>
      <w:tr w:rsidR="00F36BC6" w:rsidRPr="0048285D" w:rsidTr="00F36BC6">
        <w:trPr>
          <w:trHeight w:val="97"/>
        </w:trPr>
        <w:tc>
          <w:tcPr>
            <w:tcW w:w="594" w:type="dxa"/>
            <w:shd w:val="clear" w:color="auto" w:fill="auto"/>
            <w:vAlign w:val="center"/>
          </w:tcPr>
          <w:p w:rsidR="00F36BC6" w:rsidRPr="0048285D" w:rsidRDefault="00F36BC6" w:rsidP="00CA2D0D">
            <w:pPr>
              <w:pStyle w:val="a4"/>
              <w:spacing w:before="0"/>
              <w:ind w:firstLine="0"/>
              <w:jc w:val="center"/>
              <w:outlineLvl w:val="0"/>
              <w:rPr>
                <w:rFonts w:eastAsia="Calibri"/>
                <w:b/>
                <w:sz w:val="16"/>
                <w:szCs w:val="16"/>
              </w:rPr>
            </w:pPr>
            <w:r w:rsidRPr="0048285D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F36BC6" w:rsidRPr="0048285D" w:rsidRDefault="00F36BC6" w:rsidP="00CA2D0D">
            <w:pPr>
              <w:pStyle w:val="a4"/>
              <w:spacing w:before="0"/>
              <w:ind w:firstLine="0"/>
              <w:jc w:val="center"/>
              <w:outlineLvl w:val="0"/>
              <w:rPr>
                <w:rFonts w:eastAsia="Calibri"/>
                <w:b/>
                <w:sz w:val="16"/>
                <w:szCs w:val="16"/>
              </w:rPr>
            </w:pPr>
            <w:r w:rsidRPr="0048285D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pStyle w:val="a4"/>
              <w:spacing w:before="0"/>
              <w:ind w:firstLine="0"/>
              <w:jc w:val="center"/>
              <w:outlineLvl w:val="0"/>
              <w:rPr>
                <w:rFonts w:eastAsia="Calibri"/>
                <w:b/>
                <w:sz w:val="16"/>
                <w:szCs w:val="16"/>
              </w:rPr>
            </w:pPr>
            <w:r w:rsidRPr="0048285D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pStyle w:val="a4"/>
              <w:spacing w:before="0"/>
              <w:ind w:firstLine="0"/>
              <w:jc w:val="center"/>
              <w:outlineLvl w:val="0"/>
              <w:rPr>
                <w:rFonts w:eastAsia="Calibri"/>
                <w:b/>
                <w:sz w:val="16"/>
                <w:szCs w:val="16"/>
              </w:rPr>
            </w:pPr>
            <w:r w:rsidRPr="0048285D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F36BC6" w:rsidRPr="0048285D" w:rsidTr="00F36BC6">
        <w:tc>
          <w:tcPr>
            <w:tcW w:w="59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01 Освіта / Педагогіка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017 Фізична культура і спорт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6BC6" w:rsidRPr="00091547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>
              <w:rPr>
                <w:szCs w:val="28"/>
              </w:rPr>
              <w:t>Сертифікат про акредитацію освітньої програми відсутній</w:t>
            </w:r>
          </w:p>
        </w:tc>
      </w:tr>
      <w:tr w:rsidR="00F36BC6" w:rsidRPr="0048285D" w:rsidTr="00F36BC6">
        <w:tc>
          <w:tcPr>
            <w:tcW w:w="59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02 Культура і мистецтво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022 Дизайн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2127, дійсний до 01.07.2027</w:t>
            </w:r>
          </w:p>
        </w:tc>
      </w:tr>
      <w:tr w:rsidR="00F36BC6" w:rsidRPr="0048285D" w:rsidTr="00F36BC6">
        <w:tc>
          <w:tcPr>
            <w:tcW w:w="594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03 Гуманітарні науки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032 Історія та археологія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3792, дійсний до 01.07.2028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033 Філософія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Сертифікат про акредитацію освітньої програми 6076 дійсний до 21.11.2024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05 Соціальні та поведінкові науки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051 Економіка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2134, дійсний до 01.07.2027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052 Політологія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>
              <w:rPr>
                <w:szCs w:val="28"/>
              </w:rPr>
              <w:t>Сертифікат про акредитацію освітньої програми відсутній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07 Управління та адміністрування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073 Менеджмент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2153, дійсний до 01.07.2027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5D78AF">
              <w:rPr>
                <w:color w:val="000000"/>
                <w:szCs w:val="28"/>
                <w:lang w:eastAsia="uk-UA"/>
              </w:rPr>
              <w:t>076 Підприємництво та торгівля</w:t>
            </w:r>
            <w:r w:rsidRPr="0048285D">
              <w:rPr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>
              <w:rPr>
                <w:szCs w:val="28"/>
              </w:rPr>
              <w:t>Сертифікат про акредитацію освітньої програми відсутній</w:t>
            </w:r>
          </w:p>
        </w:tc>
      </w:tr>
      <w:tr w:rsidR="00F36BC6" w:rsidRPr="0048285D" w:rsidTr="00F36BC6">
        <w:tc>
          <w:tcPr>
            <w:tcW w:w="594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10 Природничі науки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101 Екологія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2168, дійсний до 01.07.2027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103 Науки про Землю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>
              <w:rPr>
                <w:szCs w:val="28"/>
              </w:rPr>
              <w:t>Сертифікат про акредитацію освітньої програми відсутній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12 Інформаційні технології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122 Комп’ютерні науки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2730, дійсний до 01.07.2027</w:t>
            </w:r>
          </w:p>
        </w:tc>
      </w:tr>
      <w:tr w:rsidR="00F36BC6" w:rsidRPr="0048285D" w:rsidTr="00F36BC6">
        <w:trPr>
          <w:trHeight w:val="564"/>
        </w:trPr>
        <w:tc>
          <w:tcPr>
            <w:tcW w:w="594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Cs w:val="28"/>
                <w:lang w:eastAsia="uk-UA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Cs w:val="28"/>
                <w:lang w:eastAsia="uk-UA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126 Інформаційні системи та технології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2329, дійсний до 01.07.2027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13 Механічна інженерія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131 Прикладна механіка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2209, дійсний до 01.07.2027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133 Галузеве машинобудування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2310, дійсний до 01.07.2027</w:t>
            </w:r>
          </w:p>
        </w:tc>
      </w:tr>
      <w:tr w:rsidR="00F36BC6" w:rsidRPr="0048285D" w:rsidTr="00F36BC6">
        <w:tc>
          <w:tcPr>
            <w:tcW w:w="59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9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14 Електрична інженерія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 xml:space="preserve">141 Електроенергетика, </w:t>
            </w:r>
            <w:r w:rsidRPr="0048285D">
              <w:rPr>
                <w:color w:val="000000"/>
                <w:szCs w:val="28"/>
                <w:lang w:eastAsia="uk-UA"/>
              </w:rPr>
              <w:lastRenderedPageBreak/>
              <w:t>електротехніка та електромеханіка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>
              <w:rPr>
                <w:szCs w:val="28"/>
              </w:rPr>
              <w:lastRenderedPageBreak/>
              <w:t>Сертифікат про акредитацію освітньої програми відсутній</w:t>
            </w:r>
          </w:p>
        </w:tc>
      </w:tr>
      <w:tr w:rsidR="00F36BC6" w:rsidRPr="0048285D" w:rsidTr="00F36BC6">
        <w:tc>
          <w:tcPr>
            <w:tcW w:w="59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10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szCs w:val="28"/>
                <w:lang w:eastAsia="uk-UA"/>
              </w:rPr>
            </w:pPr>
            <w:r w:rsidRPr="005D78AF">
              <w:rPr>
                <w:szCs w:val="28"/>
                <w:lang w:eastAsia="uk-UA"/>
              </w:rPr>
              <w:t>18 Виробництво та технології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183 Технології захисту навколишнього середовища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Сертифікат про акредитацію освітньої програми відсутній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szCs w:val="28"/>
                <w:lang w:eastAsia="uk-UA"/>
              </w:rPr>
              <w:t>11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19 Архітектура та будівництво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191 Архітектура та містобудування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2270, дійсний до 01.07.2027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192 Будівництво та цивільна інженерія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2271, дійсний до 01.07.2027</w:t>
            </w:r>
          </w:p>
        </w:tc>
      </w:tr>
      <w:tr w:rsidR="00F36BC6" w:rsidRPr="0048285D" w:rsidTr="00F36BC6">
        <w:trPr>
          <w:trHeight w:val="276"/>
        </w:trPr>
        <w:tc>
          <w:tcPr>
            <w:tcW w:w="594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193 Геодезія та землеустрій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2269, дійсний до 01.07.2027</w:t>
            </w:r>
          </w:p>
        </w:tc>
      </w:tr>
      <w:tr w:rsidR="00F36BC6" w:rsidRPr="0048285D" w:rsidTr="00F36BC6">
        <w:tc>
          <w:tcPr>
            <w:tcW w:w="59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>12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26 Цивільна безпека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left"/>
              <w:rPr>
                <w:color w:val="000000"/>
                <w:szCs w:val="28"/>
                <w:lang w:eastAsia="uk-UA"/>
              </w:rPr>
            </w:pPr>
            <w:r w:rsidRPr="0048285D">
              <w:rPr>
                <w:color w:val="000000"/>
                <w:szCs w:val="28"/>
                <w:lang w:eastAsia="uk-UA"/>
              </w:rPr>
              <w:t>263 Цивільна безпека</w:t>
            </w:r>
          </w:p>
        </w:tc>
        <w:tc>
          <w:tcPr>
            <w:tcW w:w="3969" w:type="dxa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rPr>
                <w:color w:val="000000"/>
                <w:szCs w:val="28"/>
                <w:lang w:eastAsia="uk-UA"/>
              </w:rPr>
            </w:pPr>
            <w:r w:rsidRPr="0048285D">
              <w:rPr>
                <w:szCs w:val="28"/>
              </w:rPr>
              <w:t>Сертифікат про акредитацію освітньої програми 3685, дійсний до 01.07.2028</w:t>
            </w:r>
          </w:p>
        </w:tc>
      </w:tr>
    </w:tbl>
    <w:p w:rsidR="00F36BC6" w:rsidRPr="0048285D" w:rsidRDefault="00F36BC6" w:rsidP="00F36BC6">
      <w:pPr>
        <w:ind w:firstLine="720"/>
        <w:jc w:val="center"/>
        <w:rPr>
          <w:b/>
          <w:caps/>
          <w:szCs w:val="28"/>
        </w:rPr>
      </w:pPr>
    </w:p>
    <w:p w:rsidR="00F36BC6" w:rsidRDefault="00F36BC6" w:rsidP="00F36BC6">
      <w:pPr>
        <w:numPr>
          <w:ilvl w:val="0"/>
          <w:numId w:val="1"/>
        </w:numPr>
        <w:jc w:val="center"/>
        <w:rPr>
          <w:b/>
          <w:szCs w:val="28"/>
        </w:rPr>
      </w:pPr>
      <w:bookmarkStart w:id="0" w:name="_GoBack"/>
      <w:bookmarkEnd w:id="0"/>
      <w:r w:rsidRPr="0048285D">
        <w:rPr>
          <w:b/>
          <w:szCs w:val="28"/>
        </w:rPr>
        <w:t>ДОКТОРАНТУРА</w:t>
      </w:r>
    </w:p>
    <w:p w:rsidR="00F36BC6" w:rsidRDefault="00F36BC6" w:rsidP="00F36BC6">
      <w:pPr>
        <w:ind w:firstLine="720"/>
        <w:jc w:val="center"/>
        <w:rPr>
          <w:b/>
          <w:caps/>
          <w:szCs w:val="28"/>
        </w:rPr>
      </w:pPr>
    </w:p>
    <w:p w:rsidR="00F36BC6" w:rsidRPr="0048285D" w:rsidRDefault="00F36BC6" w:rsidP="00F36BC6">
      <w:pPr>
        <w:ind w:firstLine="720"/>
        <w:jc w:val="center"/>
        <w:rPr>
          <w:b/>
          <w:szCs w:val="28"/>
        </w:rPr>
      </w:pPr>
      <w:r w:rsidRPr="0048285D">
        <w:rPr>
          <w:b/>
          <w:caps/>
          <w:szCs w:val="28"/>
        </w:rPr>
        <w:t xml:space="preserve">2.1. </w:t>
      </w:r>
      <w:r w:rsidRPr="0048285D">
        <w:rPr>
          <w:b/>
          <w:szCs w:val="28"/>
        </w:rPr>
        <w:t>Загальні вимоги</w:t>
      </w:r>
    </w:p>
    <w:p w:rsidR="00F36BC6" w:rsidRPr="0048285D" w:rsidRDefault="00F36BC6" w:rsidP="00F36BC6">
      <w:pPr>
        <w:ind w:firstLine="567"/>
        <w:rPr>
          <w:b/>
          <w:caps/>
          <w:szCs w:val="28"/>
        </w:rPr>
      </w:pPr>
      <w:r w:rsidRPr="0048285D">
        <w:rPr>
          <w:szCs w:val="28"/>
        </w:rPr>
        <w:t>2.1.1. На навчання до докторантури КНУБА приймаються громадяни України, а також іноземці та особи без громадянства, які перебувають в Україні на законних підставах і мають науковий ступінь кандидата наук.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2.1.2. Підготовка в докторантурі КНУБА здійснюється: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1) за рахунок: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коштів державного бюджету України – за державним замовленням;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коштів юридичних чи фізичних осіб (на умовах контракту, зокрема за кошти грантів на проведення наукових досліджень, за якими передбачається підготовка здобувачів вищої освіти ступеня доктора наук);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2) іноземців та осіб без громадянства на підставі: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міжнародних договорів України;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загальнодержавних програм;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- договорів, укладених КНУБА з юридичними та фізичними особами.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2.1.3. До вступу в докторантуру допускаються особи які мають диплом кандидата наук, не менше 10 публікацій в фахових виданнях та не менше 2 публікацій в іноземних виданнях, що включені до </w:t>
      </w:r>
      <w:proofErr w:type="spellStart"/>
      <w:r w:rsidRPr="0048285D">
        <w:rPr>
          <w:szCs w:val="28"/>
        </w:rPr>
        <w:t>наукометричних</w:t>
      </w:r>
      <w:proofErr w:type="spellEnd"/>
      <w:r w:rsidRPr="0048285D">
        <w:rPr>
          <w:szCs w:val="28"/>
        </w:rPr>
        <w:t xml:space="preserve"> баз, визначену тему дисертаційної роботи та не менше 60% готовності докторської дисертації.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2.1.4. Особа, яка раніше навчалася в докторантурі за державним замовленням і не захистилася або була відрахована з неї достроково, має право на повторний вступ до докторантури за державним замовленням лише за умови відшкодування </w:t>
      </w:r>
      <w:r w:rsidRPr="0048285D">
        <w:rPr>
          <w:szCs w:val="28"/>
        </w:rPr>
        <w:lastRenderedPageBreak/>
        <w:t>коштів, витрачених на її підготовку, у визначеному Кабінетом Міністрів України порядку.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2.1.5. Проекти річних і перспективних планів прийому до докторантури за державним замовленням розробляються відділом докторантури і аспірантури КНУБА, затверджуються МОН України у відповідності до діючого законодавства.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2.1.6. Кількість докторантів, підготовка яких здійснюється поза державним замовленням, визначається ректором КНУБА з урахуванням можливостей забезпечення кваліфікованого наукового консультування.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2.1.7. Не пізніше ніж за три місяці до початку прийому у засобах масової інформації розміщується оголошення про конкурсний прийом до докторантури із зазначенням наукових спеціальностей, термінів та умов прийому, переліку необхідних документів.</w:t>
      </w:r>
    </w:p>
    <w:p w:rsidR="00F36BC6" w:rsidRPr="0048285D" w:rsidRDefault="00F36BC6" w:rsidP="00F36BC6">
      <w:pPr>
        <w:ind w:firstLine="720"/>
        <w:rPr>
          <w:szCs w:val="28"/>
        </w:rPr>
      </w:pPr>
    </w:p>
    <w:p w:rsidR="00F36BC6" w:rsidRPr="0048285D" w:rsidRDefault="00F36BC6" w:rsidP="00F36BC6">
      <w:pPr>
        <w:ind w:firstLine="720"/>
        <w:jc w:val="center"/>
        <w:rPr>
          <w:szCs w:val="28"/>
        </w:rPr>
      </w:pPr>
      <w:r w:rsidRPr="0048285D">
        <w:rPr>
          <w:b/>
          <w:caps/>
          <w:szCs w:val="28"/>
        </w:rPr>
        <w:t xml:space="preserve">2.2. </w:t>
      </w:r>
      <w:r w:rsidRPr="0048285D">
        <w:rPr>
          <w:b/>
          <w:szCs w:val="28"/>
        </w:rPr>
        <w:t>Терміни вступної кампанії і порядок прийому заяв і документів</w:t>
      </w:r>
    </w:p>
    <w:p w:rsidR="00F36BC6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2.2.1. Прийом заяв і документів, конкурсний відбір та зарахування до докторантури проводяться в такі терміни, наведені в таблиці 1, 2</w:t>
      </w:r>
      <w:r>
        <w:rPr>
          <w:szCs w:val="28"/>
        </w:rPr>
        <w:t>:</w:t>
      </w:r>
    </w:p>
    <w:p w:rsidR="00F36BC6" w:rsidRDefault="00F36BC6" w:rsidP="00F36BC6">
      <w:pPr>
        <w:ind w:firstLine="567"/>
        <w:jc w:val="right"/>
        <w:rPr>
          <w:sz w:val="16"/>
          <w:szCs w:val="16"/>
        </w:rPr>
      </w:pPr>
    </w:p>
    <w:p w:rsidR="00F36BC6" w:rsidRPr="00643650" w:rsidRDefault="00F36BC6" w:rsidP="00F36BC6">
      <w:pPr>
        <w:ind w:firstLine="567"/>
        <w:jc w:val="right"/>
        <w:rPr>
          <w:sz w:val="16"/>
          <w:szCs w:val="16"/>
        </w:rPr>
      </w:pPr>
    </w:p>
    <w:p w:rsidR="00F36BC6" w:rsidRPr="0092774F" w:rsidRDefault="00F36BC6" w:rsidP="00F36BC6">
      <w:pPr>
        <w:ind w:firstLine="720"/>
        <w:jc w:val="right"/>
        <w:rPr>
          <w:b/>
          <w:bCs/>
          <w:i/>
          <w:szCs w:val="28"/>
        </w:rPr>
      </w:pPr>
      <w:r w:rsidRPr="0092774F">
        <w:rPr>
          <w:b/>
          <w:bCs/>
          <w:i/>
          <w:szCs w:val="28"/>
        </w:rPr>
        <w:t>Таблиця 1</w:t>
      </w:r>
    </w:p>
    <w:p w:rsidR="00F36BC6" w:rsidRDefault="00F36BC6" w:rsidP="00F36BC6">
      <w:pPr>
        <w:ind w:firstLine="720"/>
        <w:jc w:val="center"/>
        <w:rPr>
          <w:b/>
          <w:bCs/>
          <w:szCs w:val="28"/>
        </w:rPr>
      </w:pPr>
      <w:r w:rsidRPr="0048285D">
        <w:rPr>
          <w:b/>
          <w:bCs/>
          <w:szCs w:val="28"/>
        </w:rPr>
        <w:t>Терміни прийому документів, конкурсний відбір та зарахування до докторантури за державним замовленням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89"/>
      </w:tblGrid>
      <w:tr w:rsidR="00F36BC6" w:rsidRPr="0048285D" w:rsidTr="00CA2D0D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szCs w:val="28"/>
              </w:rPr>
            </w:pPr>
            <w:r w:rsidRPr="0048285D">
              <w:rPr>
                <w:rFonts w:eastAsia="Calibri"/>
                <w:b/>
                <w:bCs/>
                <w:szCs w:val="28"/>
              </w:rPr>
              <w:t>Терміни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szCs w:val="28"/>
              </w:rPr>
            </w:pPr>
            <w:r w:rsidRPr="0048285D">
              <w:rPr>
                <w:rFonts w:eastAsia="Calibri"/>
                <w:b/>
                <w:bCs/>
                <w:szCs w:val="28"/>
              </w:rPr>
              <w:t xml:space="preserve">Етапи </w:t>
            </w:r>
            <w:r w:rsidRPr="0048285D">
              <w:rPr>
                <w:b/>
                <w:szCs w:val="28"/>
              </w:rPr>
              <w:t>вступної кампанії</w:t>
            </w:r>
          </w:p>
        </w:tc>
      </w:tr>
      <w:tr w:rsidR="00F36BC6" w:rsidRPr="0048285D" w:rsidTr="00CA2D0D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szCs w:val="28"/>
              </w:rPr>
            </w:pPr>
            <w:r w:rsidRPr="0048285D">
              <w:rPr>
                <w:rFonts w:eastAsia="Calibri"/>
                <w:szCs w:val="28"/>
              </w:rPr>
              <w:t>26 серпня – 20 вересня 2024 р.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34"/>
              <w:jc w:val="center"/>
              <w:rPr>
                <w:rFonts w:eastAsia="Calibri"/>
                <w:b/>
                <w:bCs/>
                <w:szCs w:val="28"/>
              </w:rPr>
            </w:pPr>
            <w:r w:rsidRPr="0048285D">
              <w:rPr>
                <w:szCs w:val="28"/>
              </w:rPr>
              <w:t>Прийом заяв і документів</w:t>
            </w:r>
          </w:p>
        </w:tc>
      </w:tr>
      <w:tr w:rsidR="00F36BC6" w:rsidRPr="0048285D" w:rsidTr="00CA2D0D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34"/>
              <w:jc w:val="center"/>
              <w:rPr>
                <w:rFonts w:eastAsia="Calibri"/>
                <w:szCs w:val="28"/>
              </w:rPr>
            </w:pPr>
            <w:r w:rsidRPr="0048285D">
              <w:rPr>
                <w:rFonts w:eastAsia="Calibri"/>
                <w:szCs w:val="28"/>
              </w:rPr>
              <w:t>23 вересня – 30 вересня 2024 р.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34"/>
              <w:jc w:val="center"/>
              <w:rPr>
                <w:rFonts w:eastAsia="Calibri"/>
                <w:szCs w:val="28"/>
              </w:rPr>
            </w:pPr>
            <w:r w:rsidRPr="0048285D">
              <w:rPr>
                <w:szCs w:val="28"/>
              </w:rPr>
              <w:t>Розгляд справи кожного вступника з прийняттям рішення про його зарахування</w:t>
            </w:r>
          </w:p>
        </w:tc>
      </w:tr>
      <w:tr w:rsidR="00F36BC6" w:rsidRPr="0048285D" w:rsidTr="00CA2D0D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34"/>
              <w:jc w:val="center"/>
              <w:rPr>
                <w:rFonts w:ascii="Calibri" w:eastAsia="Calibri" w:hAnsi="Calibri"/>
                <w:szCs w:val="28"/>
              </w:rPr>
            </w:pPr>
            <w:r w:rsidRPr="0048285D">
              <w:rPr>
                <w:rFonts w:eastAsia="Calibri"/>
                <w:szCs w:val="28"/>
              </w:rPr>
              <w:t>01 жовтня 2024 р.</w:t>
            </w:r>
          </w:p>
        </w:tc>
        <w:tc>
          <w:tcPr>
            <w:tcW w:w="5889" w:type="dxa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34"/>
              <w:jc w:val="center"/>
              <w:rPr>
                <w:rFonts w:ascii="Calibri" w:eastAsia="Calibri" w:hAnsi="Calibri"/>
                <w:szCs w:val="28"/>
              </w:rPr>
            </w:pPr>
            <w:r w:rsidRPr="0048285D">
              <w:rPr>
                <w:rFonts w:eastAsia="Calibri"/>
                <w:szCs w:val="28"/>
              </w:rPr>
              <w:t xml:space="preserve">Зарахування </w:t>
            </w:r>
            <w:r w:rsidRPr="0048285D">
              <w:rPr>
                <w:szCs w:val="28"/>
              </w:rPr>
              <w:t>до докторантури</w:t>
            </w:r>
          </w:p>
        </w:tc>
      </w:tr>
    </w:tbl>
    <w:p w:rsidR="00F36BC6" w:rsidRPr="00643650" w:rsidRDefault="00F36BC6" w:rsidP="00F36BC6">
      <w:pPr>
        <w:ind w:firstLine="720"/>
        <w:jc w:val="right"/>
        <w:rPr>
          <w:b/>
          <w:bCs/>
          <w:sz w:val="16"/>
          <w:szCs w:val="16"/>
        </w:rPr>
      </w:pPr>
    </w:p>
    <w:p w:rsidR="00F36BC6" w:rsidRPr="0092774F" w:rsidRDefault="00F36BC6" w:rsidP="00F36BC6">
      <w:pPr>
        <w:ind w:firstLine="720"/>
        <w:jc w:val="right"/>
        <w:rPr>
          <w:b/>
          <w:bCs/>
          <w:i/>
          <w:szCs w:val="28"/>
        </w:rPr>
      </w:pPr>
      <w:r w:rsidRPr="0092774F">
        <w:rPr>
          <w:b/>
          <w:bCs/>
          <w:i/>
          <w:szCs w:val="28"/>
        </w:rPr>
        <w:t>Таблиця 2</w:t>
      </w:r>
    </w:p>
    <w:p w:rsidR="00F36BC6" w:rsidRPr="0048285D" w:rsidRDefault="00F36BC6" w:rsidP="00F36BC6">
      <w:pPr>
        <w:ind w:firstLine="720"/>
        <w:jc w:val="center"/>
        <w:rPr>
          <w:b/>
          <w:bCs/>
          <w:szCs w:val="28"/>
        </w:rPr>
      </w:pPr>
      <w:r w:rsidRPr="0048285D">
        <w:rPr>
          <w:b/>
          <w:bCs/>
          <w:szCs w:val="28"/>
        </w:rPr>
        <w:t>Терміни прийому документів, конкурсний відбір та зарахування до докторантури за рахунок коштів фізичних та/або юридичних осіб усіх форм здобуття освіти (на умовах контракту) та здобувачів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  <w:gridCol w:w="2079"/>
        <w:gridCol w:w="1906"/>
      </w:tblGrid>
      <w:tr w:rsidR="00F36BC6" w:rsidRPr="0048285D" w:rsidTr="00CA2D0D">
        <w:trPr>
          <w:jc w:val="center"/>
        </w:trPr>
        <w:tc>
          <w:tcPr>
            <w:tcW w:w="2934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48285D">
              <w:rPr>
                <w:rFonts w:eastAsia="Calibri"/>
                <w:b/>
                <w:bCs/>
                <w:szCs w:val="28"/>
              </w:rPr>
              <w:t>Етапи вступної кампанії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48285D">
              <w:rPr>
                <w:rFonts w:eastAsia="Calibri"/>
                <w:b/>
                <w:bCs/>
                <w:szCs w:val="28"/>
              </w:rPr>
              <w:t>І етап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48285D">
              <w:rPr>
                <w:rFonts w:eastAsia="Calibri"/>
                <w:b/>
                <w:bCs/>
                <w:szCs w:val="28"/>
              </w:rPr>
              <w:t>ІІ етап</w:t>
            </w:r>
          </w:p>
        </w:tc>
      </w:tr>
      <w:tr w:rsidR="00F36BC6" w:rsidRPr="0048285D" w:rsidTr="00CA2D0D">
        <w:trPr>
          <w:jc w:val="center"/>
        </w:trPr>
        <w:tc>
          <w:tcPr>
            <w:tcW w:w="2934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48285D">
              <w:rPr>
                <w:rFonts w:eastAsia="Calibri"/>
                <w:szCs w:val="28"/>
              </w:rPr>
              <w:t>Прийом заяв і документів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</w:t>
            </w:r>
            <w:r w:rsidRPr="0048285D">
              <w:rPr>
                <w:rFonts w:eastAsia="Calibri"/>
                <w:szCs w:val="28"/>
              </w:rPr>
              <w:t xml:space="preserve">.05. – </w:t>
            </w:r>
            <w:r>
              <w:rPr>
                <w:rFonts w:eastAsia="Calibri"/>
                <w:szCs w:val="28"/>
              </w:rPr>
              <w:t>14</w:t>
            </w:r>
            <w:r w:rsidRPr="0048285D">
              <w:rPr>
                <w:rFonts w:eastAsia="Calibri"/>
                <w:szCs w:val="28"/>
              </w:rPr>
              <w:t>.06.</w:t>
            </w:r>
            <w:r w:rsidRPr="0048285D">
              <w:rPr>
                <w:rFonts w:eastAsia="Calibri"/>
                <w:szCs w:val="28"/>
              </w:rPr>
              <w:br/>
              <w:t>2024р.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48285D">
              <w:rPr>
                <w:rFonts w:eastAsia="Calibri"/>
                <w:szCs w:val="28"/>
              </w:rPr>
              <w:t>2</w:t>
            </w:r>
            <w:r>
              <w:rPr>
                <w:rFonts w:eastAsia="Calibri"/>
                <w:szCs w:val="28"/>
              </w:rPr>
              <w:t>6</w:t>
            </w:r>
            <w:r w:rsidRPr="0048285D">
              <w:rPr>
                <w:rFonts w:eastAsia="Calibri"/>
                <w:szCs w:val="28"/>
              </w:rPr>
              <w:t>.0</w:t>
            </w:r>
            <w:r>
              <w:rPr>
                <w:rFonts w:eastAsia="Calibri"/>
                <w:szCs w:val="28"/>
              </w:rPr>
              <w:t>8</w:t>
            </w:r>
            <w:r w:rsidRPr="0048285D">
              <w:rPr>
                <w:rFonts w:eastAsia="Calibri"/>
                <w:szCs w:val="28"/>
              </w:rPr>
              <w:t xml:space="preserve">. – </w:t>
            </w:r>
            <w:r>
              <w:rPr>
                <w:rFonts w:eastAsia="Calibri"/>
                <w:szCs w:val="28"/>
              </w:rPr>
              <w:t>20</w:t>
            </w:r>
            <w:r w:rsidRPr="0048285D">
              <w:rPr>
                <w:rFonts w:eastAsia="Calibri"/>
                <w:szCs w:val="28"/>
              </w:rPr>
              <w:t>.0</w:t>
            </w:r>
            <w:r>
              <w:rPr>
                <w:rFonts w:eastAsia="Calibri"/>
                <w:szCs w:val="28"/>
              </w:rPr>
              <w:t>9</w:t>
            </w:r>
            <w:r w:rsidRPr="0048285D">
              <w:rPr>
                <w:rFonts w:eastAsia="Calibri"/>
                <w:szCs w:val="28"/>
              </w:rPr>
              <w:t>.</w:t>
            </w:r>
            <w:r w:rsidRPr="0048285D">
              <w:rPr>
                <w:rFonts w:eastAsia="Calibri"/>
                <w:szCs w:val="28"/>
              </w:rPr>
              <w:br/>
              <w:t>2024р.</w:t>
            </w:r>
          </w:p>
        </w:tc>
      </w:tr>
      <w:tr w:rsidR="00F36BC6" w:rsidRPr="0048285D" w:rsidTr="00CA2D0D">
        <w:trPr>
          <w:jc w:val="center"/>
        </w:trPr>
        <w:tc>
          <w:tcPr>
            <w:tcW w:w="2934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48285D">
              <w:rPr>
                <w:szCs w:val="28"/>
              </w:rPr>
              <w:t>Розгляд справи кожного вступника з прийняттям рішення про його зарахування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</w:t>
            </w:r>
            <w:r w:rsidRPr="0048285D">
              <w:rPr>
                <w:rFonts w:eastAsia="Calibri"/>
                <w:szCs w:val="28"/>
              </w:rPr>
              <w:t xml:space="preserve">.06. – </w:t>
            </w:r>
            <w:r>
              <w:rPr>
                <w:rFonts w:eastAsia="Calibri"/>
                <w:szCs w:val="28"/>
              </w:rPr>
              <w:t>26</w:t>
            </w:r>
            <w:r w:rsidRPr="0048285D">
              <w:rPr>
                <w:rFonts w:eastAsia="Calibri"/>
                <w:szCs w:val="28"/>
              </w:rPr>
              <w:t>.06.</w:t>
            </w:r>
            <w:r w:rsidRPr="0048285D">
              <w:rPr>
                <w:rFonts w:eastAsia="Calibri"/>
                <w:szCs w:val="28"/>
              </w:rPr>
              <w:br/>
              <w:t>2024р.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23</w:t>
            </w:r>
            <w:r w:rsidRPr="0048285D">
              <w:rPr>
                <w:rFonts w:eastAsia="Calibri"/>
                <w:szCs w:val="28"/>
              </w:rPr>
              <w:t>.0</w:t>
            </w:r>
            <w:r>
              <w:rPr>
                <w:rFonts w:eastAsia="Calibri"/>
                <w:szCs w:val="28"/>
              </w:rPr>
              <w:t>9</w:t>
            </w:r>
            <w:r w:rsidRPr="0048285D">
              <w:rPr>
                <w:rFonts w:eastAsia="Calibri"/>
                <w:szCs w:val="28"/>
              </w:rPr>
              <w:t xml:space="preserve">. – </w:t>
            </w:r>
            <w:r>
              <w:rPr>
                <w:rFonts w:eastAsia="Calibri"/>
                <w:szCs w:val="28"/>
              </w:rPr>
              <w:t>30</w:t>
            </w:r>
            <w:r w:rsidRPr="0048285D">
              <w:rPr>
                <w:rFonts w:eastAsia="Calibri"/>
                <w:szCs w:val="28"/>
              </w:rPr>
              <w:t>.09</w:t>
            </w:r>
            <w:r>
              <w:rPr>
                <w:rFonts w:eastAsia="Calibri"/>
                <w:szCs w:val="28"/>
              </w:rPr>
              <w:t>.</w:t>
            </w:r>
            <w:r w:rsidRPr="0048285D">
              <w:rPr>
                <w:rFonts w:eastAsia="Calibri"/>
                <w:szCs w:val="28"/>
              </w:rPr>
              <w:br/>
              <w:t>20224р.</w:t>
            </w:r>
          </w:p>
        </w:tc>
      </w:tr>
      <w:tr w:rsidR="00F36BC6" w:rsidRPr="0048285D" w:rsidTr="00CA2D0D">
        <w:trPr>
          <w:jc w:val="center"/>
        </w:trPr>
        <w:tc>
          <w:tcPr>
            <w:tcW w:w="2934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Cs w:val="28"/>
              </w:rPr>
            </w:pPr>
            <w:r w:rsidRPr="0048285D">
              <w:rPr>
                <w:rFonts w:eastAsia="Calibri"/>
                <w:szCs w:val="28"/>
              </w:rPr>
              <w:t>Зарахування вступників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48285D">
              <w:rPr>
                <w:rFonts w:eastAsia="Calibri"/>
                <w:szCs w:val="28"/>
              </w:rPr>
              <w:t xml:space="preserve">28 червня </w:t>
            </w:r>
            <w:r w:rsidRPr="0048285D">
              <w:rPr>
                <w:rFonts w:eastAsia="Calibri"/>
                <w:szCs w:val="28"/>
              </w:rPr>
              <w:br/>
              <w:t>2024р.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F36BC6" w:rsidRPr="0048285D" w:rsidRDefault="00F36BC6" w:rsidP="00CA2D0D">
            <w:pPr>
              <w:spacing w:line="240" w:lineRule="auto"/>
              <w:ind w:firstLine="0"/>
              <w:jc w:val="center"/>
              <w:rPr>
                <w:rFonts w:eastAsia="Calibri"/>
                <w:szCs w:val="28"/>
              </w:rPr>
            </w:pPr>
            <w:r w:rsidRPr="0048285D">
              <w:rPr>
                <w:rFonts w:eastAsia="Calibri"/>
                <w:szCs w:val="28"/>
              </w:rPr>
              <w:t xml:space="preserve">01 жовтня </w:t>
            </w:r>
            <w:r w:rsidRPr="0048285D">
              <w:rPr>
                <w:rFonts w:eastAsia="Calibri"/>
                <w:szCs w:val="28"/>
              </w:rPr>
              <w:br/>
              <w:t>2024р.</w:t>
            </w:r>
          </w:p>
        </w:tc>
      </w:tr>
    </w:tbl>
    <w:p w:rsidR="00F36BC6" w:rsidRDefault="00F36BC6" w:rsidP="00F36BC6">
      <w:pPr>
        <w:ind w:firstLine="567"/>
        <w:rPr>
          <w:szCs w:val="28"/>
        </w:rPr>
      </w:pP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2.2.2. Вступники до докторантури подають такі документи: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1) заяву на ім’я ректора;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2) особовий листок з обліку кадрів з фотокарткою;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3) копію перших двох сторінок паспорту та сторінку з пропискою;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lastRenderedPageBreak/>
        <w:t>4) копію індивідуального ідентифікаційного номеру;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5) копію військово-облікового документа «для військовозобов’язаних - військового квитка або тимчасового посвідчення військовозобов’язаного, а для призовників - посвідчення про приписку до призовних дільниць, (</w:t>
      </w:r>
      <w:r w:rsidRPr="0048285D">
        <w:rPr>
          <w:bCs/>
          <w:szCs w:val="28"/>
          <w:lang w:eastAsia="uk-UA"/>
        </w:rPr>
        <w:t xml:space="preserve">відповідно до пункту 34 </w:t>
      </w:r>
      <w:r w:rsidRPr="0048285D">
        <w:rPr>
          <w:szCs w:val="28"/>
          <w:lang w:eastAsia="uk-UA"/>
        </w:rPr>
        <w:t xml:space="preserve">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</w:t>
      </w:r>
      <w:r w:rsidRPr="0048285D">
        <w:rPr>
          <w:bCs/>
          <w:szCs w:val="28"/>
          <w:lang w:eastAsia="uk-UA"/>
        </w:rPr>
        <w:t>від 30 грудня 2022 р. № 1487)</w:t>
      </w:r>
      <w:r w:rsidRPr="0048285D">
        <w:rPr>
          <w:szCs w:val="28"/>
        </w:rPr>
        <w:t>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6) фотокартку 3х4 см;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7) копію диплома про присудження </w:t>
      </w:r>
      <w:proofErr w:type="spellStart"/>
      <w:r w:rsidRPr="0048285D">
        <w:rPr>
          <w:szCs w:val="28"/>
        </w:rPr>
        <w:t>освітньо</w:t>
      </w:r>
      <w:proofErr w:type="spellEnd"/>
      <w:r w:rsidRPr="0048285D">
        <w:rPr>
          <w:szCs w:val="28"/>
        </w:rPr>
        <w:t>-наукового ступеня доктора філософії або наукового ступеня кандидата наук (подається при наявності оригіналу);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8) затверджений список опублікованих наукових праць і винаходів;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9) письмову характеристику наукової діяльності вступника, складену доктором наук, який є штатним науково-педагогічним або науковим працівником КНУБА, із згодою бути науковим консультантом в разі його вступу до докторантури;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10) розгорнутий план дисертації на здобуття наукового ступеня доктора наук (далі – докторська дисертація);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11) дві рецензії докторів наук на розгорнутий план докторської дисертації (зовнішня і внутрішня) за відповідною науковою спеціальністю;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12) витяг з протоколу засідання кафедри про рекомендацію вступу до докторантури;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13) витяг з протоколу засідання вченої ради факультету про рекомендацію вступу до докторантури та затвердження теми дисертаційної роботи (2 прим.).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2.2.3. Особа, яка подає для вступу до докторантури диплом, що виданий іноземним вищим навчальним закладом, допускається до вступу нарівні з іншими вступниками. У разі позитивного рішення вченої ради КНУБА щодо зарахування такого вступника в докторантуру, одночасно приймається рішення про визнання його диплома. У разі відмови вчена рада КНУБА надає вступнику обґрунтоване пояснення причин відмови.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2.2.4. Довідка з основного місця роботи про працевлаштування не більше ніж на 0,5 ставки або Трудова книжка із записом про звільнення з останнього місця роботи у зв’язку зі вступом до докторантури на денну форму навчання для нарахування стипендії подаються докторантом особисто в десятиденний термін після зарахування.</w:t>
      </w:r>
    </w:p>
    <w:p w:rsidR="00F36BC6" w:rsidRPr="0048285D" w:rsidRDefault="00F36BC6" w:rsidP="00F36BC6">
      <w:pPr>
        <w:ind w:firstLine="720"/>
        <w:rPr>
          <w:b/>
          <w:szCs w:val="28"/>
        </w:rPr>
      </w:pPr>
    </w:p>
    <w:p w:rsidR="00F36BC6" w:rsidRPr="0048285D" w:rsidRDefault="00F36BC6" w:rsidP="00F36BC6">
      <w:pPr>
        <w:ind w:firstLine="720"/>
        <w:jc w:val="center"/>
        <w:rPr>
          <w:b/>
          <w:szCs w:val="28"/>
        </w:rPr>
      </w:pPr>
      <w:r w:rsidRPr="0048285D">
        <w:rPr>
          <w:b/>
          <w:szCs w:val="28"/>
        </w:rPr>
        <w:t>2.3. Розгляд поданих документів і допуск до вступних випробувань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 xml:space="preserve">2.3.1. Вчена рада КНУБА в місячний строк розглядає висновки кафедри, відділу, лабораторії щодо кожного вступника і приймає рішення про його зарахування до докторантури та відповідно до наданої характеристики наукової діяльності вступника призначає докторанту наукового консультанта з числа </w:t>
      </w:r>
      <w:r w:rsidRPr="0048285D">
        <w:rPr>
          <w:szCs w:val="28"/>
        </w:rPr>
        <w:lastRenderedPageBreak/>
        <w:t xml:space="preserve">штатних науково-педагогічних або наукових працівників КНУБА із ступенем доктора наук з відповідної спеціальності. 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2.3.2. Зарахування до докторантури проводиться наказом ректора КНУБА.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2.3.3. Про зарахування до докторантури або про відмову в зарахуванні до докторантури вступнику повідомляється в п'ятиденний термін з дня прийняття Вченою радою КНУБА відповідного рішення.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2.3.4. Після закінчення прийому до докторантури у п'ятиденний термін подається до МОН України звіт про виконання плану прийому до докторантури за рахунок державного замовлення.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2.3.5. Науковий консультант докторанта здійснює наукові консультації роботи над дисертацією, контролює виконання індивідуального плану та несе особисту відповідальність за якісне написання дисертації.</w:t>
      </w:r>
    </w:p>
    <w:p w:rsidR="00F36BC6" w:rsidRPr="0048285D" w:rsidRDefault="00F36BC6" w:rsidP="00F36BC6">
      <w:pPr>
        <w:ind w:firstLine="567"/>
        <w:rPr>
          <w:szCs w:val="28"/>
        </w:rPr>
      </w:pPr>
      <w:r w:rsidRPr="0048285D">
        <w:rPr>
          <w:szCs w:val="28"/>
        </w:rPr>
        <w:t>2.3.6. Науковий консультант може здійснювати підготовку лише одного докторанта.</w:t>
      </w:r>
    </w:p>
    <w:p w:rsidR="00F36BC6" w:rsidRPr="0092774F" w:rsidRDefault="00F36BC6" w:rsidP="00F36BC6">
      <w:pPr>
        <w:ind w:firstLine="720"/>
        <w:jc w:val="center"/>
        <w:rPr>
          <w:b/>
          <w:sz w:val="16"/>
          <w:szCs w:val="16"/>
        </w:rPr>
      </w:pPr>
    </w:p>
    <w:p w:rsidR="00F36BC6" w:rsidRPr="0048285D" w:rsidRDefault="00F36BC6" w:rsidP="00F36BC6">
      <w:pPr>
        <w:ind w:firstLine="426"/>
        <w:jc w:val="center"/>
        <w:rPr>
          <w:b/>
          <w:caps/>
          <w:szCs w:val="28"/>
        </w:rPr>
      </w:pPr>
      <w:r w:rsidRPr="0048285D">
        <w:rPr>
          <w:b/>
          <w:szCs w:val="28"/>
        </w:rPr>
        <w:t>2.4. Перелік галузей знань, спеціальностей, за якими здійснюється підготовка докторів наук через докторантуру</w:t>
      </w: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21"/>
        <w:gridCol w:w="5547"/>
      </w:tblGrid>
      <w:tr w:rsidR="00F36BC6" w:rsidRPr="0048285D" w:rsidTr="00CA2D0D">
        <w:tc>
          <w:tcPr>
            <w:tcW w:w="1068" w:type="dxa"/>
            <w:shd w:val="clear" w:color="auto" w:fill="auto"/>
            <w:vAlign w:val="center"/>
          </w:tcPr>
          <w:p w:rsidR="00F36BC6" w:rsidRPr="0048285D" w:rsidRDefault="00F36BC6" w:rsidP="00CA2D0D">
            <w:pPr>
              <w:pStyle w:val="a4"/>
              <w:spacing w:before="0" w:line="276" w:lineRule="auto"/>
              <w:ind w:firstLine="0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48285D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F36BC6" w:rsidRPr="0048285D" w:rsidRDefault="00F36BC6" w:rsidP="00CA2D0D">
            <w:pPr>
              <w:pStyle w:val="a4"/>
              <w:spacing w:before="0" w:line="276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285D">
              <w:rPr>
                <w:rFonts w:eastAsia="Calibri"/>
                <w:b/>
                <w:sz w:val="28"/>
                <w:szCs w:val="28"/>
              </w:rPr>
              <w:t>Галузь знань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pStyle w:val="a4"/>
              <w:spacing w:before="0" w:line="276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285D">
              <w:rPr>
                <w:rFonts w:eastAsia="Calibri"/>
                <w:b/>
                <w:sz w:val="28"/>
                <w:szCs w:val="28"/>
              </w:rPr>
              <w:t>Спеціальність</w:t>
            </w:r>
          </w:p>
        </w:tc>
      </w:tr>
      <w:tr w:rsidR="00F36BC6" w:rsidRPr="0048285D" w:rsidTr="00CA2D0D">
        <w:tc>
          <w:tcPr>
            <w:tcW w:w="1068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02 Культура і мистецтво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022 Дизайн</w:t>
            </w:r>
          </w:p>
        </w:tc>
      </w:tr>
      <w:tr w:rsidR="00F36BC6" w:rsidRPr="0048285D" w:rsidTr="00CA2D0D">
        <w:tc>
          <w:tcPr>
            <w:tcW w:w="1068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2</w:t>
            </w:r>
          </w:p>
        </w:tc>
        <w:tc>
          <w:tcPr>
            <w:tcW w:w="342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03 Гуманітарні науки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032 Історія та археологія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033 Філософія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3</w:t>
            </w:r>
          </w:p>
        </w:tc>
        <w:tc>
          <w:tcPr>
            <w:tcW w:w="342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05 Соціальні та поведінкові науки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051 Економіка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052 Політологія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4</w:t>
            </w:r>
          </w:p>
        </w:tc>
        <w:tc>
          <w:tcPr>
            <w:tcW w:w="342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07 Управління та адміністрування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073 Менеджмент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5D78AF">
              <w:rPr>
                <w:szCs w:val="28"/>
                <w:lang w:eastAsia="uk-UA"/>
              </w:rPr>
              <w:t>076 Підприємництво та торгівля</w:t>
            </w:r>
          </w:p>
        </w:tc>
      </w:tr>
      <w:tr w:rsidR="00F36BC6" w:rsidRPr="0048285D" w:rsidTr="00CA2D0D">
        <w:tc>
          <w:tcPr>
            <w:tcW w:w="1068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5</w:t>
            </w:r>
          </w:p>
        </w:tc>
        <w:tc>
          <w:tcPr>
            <w:tcW w:w="342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10 Природничі науки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101 Екологія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103 Науки про Землю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6</w:t>
            </w:r>
          </w:p>
        </w:tc>
        <w:tc>
          <w:tcPr>
            <w:tcW w:w="342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12 Інформаційні технології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122 Комп’ютерні науки</w:t>
            </w:r>
          </w:p>
        </w:tc>
      </w:tr>
      <w:tr w:rsidR="00F36BC6" w:rsidRPr="0048285D" w:rsidTr="00CA2D0D">
        <w:trPr>
          <w:trHeight w:val="207"/>
        </w:trPr>
        <w:tc>
          <w:tcPr>
            <w:tcW w:w="1068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rFonts w:ascii="Calibri" w:eastAsia="Calibri" w:hAnsi="Calibri"/>
                <w:szCs w:val="28"/>
                <w:lang w:eastAsia="uk-UA"/>
              </w:rPr>
            </w:pP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124 Системний аналіз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126 Інформаційні системи та технології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7</w:t>
            </w:r>
          </w:p>
        </w:tc>
        <w:tc>
          <w:tcPr>
            <w:tcW w:w="342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13 Механічна інженерія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131 Прикладна механіка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133 Галузеве машинобудування</w:t>
            </w:r>
          </w:p>
        </w:tc>
      </w:tr>
      <w:tr w:rsidR="00F36BC6" w:rsidRPr="0048285D" w:rsidTr="00CA2D0D">
        <w:tc>
          <w:tcPr>
            <w:tcW w:w="1068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8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rFonts w:ascii="Calibri" w:eastAsia="Calibri" w:hAnsi="Calibri"/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14 Електрична інженерія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rFonts w:ascii="Calibri" w:eastAsia="Calibri" w:hAnsi="Calibri"/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141 Електроенергетика, електротехніка та електромеханіка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9</w:t>
            </w:r>
          </w:p>
        </w:tc>
        <w:tc>
          <w:tcPr>
            <w:tcW w:w="3421" w:type="dxa"/>
            <w:vMerge w:val="restart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19 Архітектура та будівництво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191 Архітектура та містобудування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192 Будівництво та цивільна інженерія</w:t>
            </w:r>
          </w:p>
        </w:tc>
      </w:tr>
      <w:tr w:rsidR="00F36BC6" w:rsidRPr="0048285D" w:rsidTr="00CA2D0D">
        <w:trPr>
          <w:trHeight w:val="276"/>
        </w:trPr>
        <w:tc>
          <w:tcPr>
            <w:tcW w:w="1068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</w:p>
        </w:tc>
        <w:tc>
          <w:tcPr>
            <w:tcW w:w="3421" w:type="dxa"/>
            <w:vMerge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193 Геодезія та землеустрій</w:t>
            </w:r>
          </w:p>
        </w:tc>
      </w:tr>
      <w:tr w:rsidR="00F36BC6" w:rsidRPr="0048285D" w:rsidTr="00CA2D0D">
        <w:tc>
          <w:tcPr>
            <w:tcW w:w="1068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center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10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jc w:val="left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26 Цивільна безпека</w:t>
            </w:r>
          </w:p>
        </w:tc>
        <w:tc>
          <w:tcPr>
            <w:tcW w:w="5547" w:type="dxa"/>
            <w:shd w:val="clear" w:color="auto" w:fill="auto"/>
            <w:vAlign w:val="center"/>
          </w:tcPr>
          <w:p w:rsidR="00F36BC6" w:rsidRPr="0048285D" w:rsidRDefault="00F36BC6" w:rsidP="00CA2D0D">
            <w:pPr>
              <w:ind w:firstLine="0"/>
              <w:rPr>
                <w:szCs w:val="28"/>
                <w:lang w:eastAsia="uk-UA"/>
              </w:rPr>
            </w:pPr>
            <w:r w:rsidRPr="0048285D">
              <w:rPr>
                <w:szCs w:val="28"/>
                <w:lang w:eastAsia="uk-UA"/>
              </w:rPr>
              <w:t>263 Цивільна безпека</w:t>
            </w:r>
          </w:p>
        </w:tc>
      </w:tr>
    </w:tbl>
    <w:p w:rsidR="00F36BC6" w:rsidRDefault="00F36BC6" w:rsidP="00F36BC6">
      <w:pPr>
        <w:ind w:firstLine="0"/>
        <w:jc w:val="center"/>
        <w:rPr>
          <w:b/>
        </w:rPr>
      </w:pPr>
    </w:p>
    <w:p w:rsidR="00F36BC6" w:rsidRDefault="00F36BC6" w:rsidP="00F36BC6">
      <w:pPr>
        <w:ind w:firstLine="0"/>
        <w:jc w:val="center"/>
        <w:rPr>
          <w:b/>
        </w:rPr>
      </w:pPr>
    </w:p>
    <w:p w:rsidR="00F36BC6" w:rsidRDefault="00F36BC6" w:rsidP="00F36BC6">
      <w:pPr>
        <w:ind w:firstLine="0"/>
        <w:jc w:val="center"/>
        <w:rPr>
          <w:b/>
        </w:rPr>
      </w:pPr>
    </w:p>
    <w:tbl>
      <w:tblPr>
        <w:tblStyle w:val="a3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977"/>
        <w:gridCol w:w="3402"/>
      </w:tblGrid>
      <w:tr w:rsidR="00F36BC6" w:rsidTr="00CA2D0D">
        <w:trPr>
          <w:trHeight w:val="1883"/>
        </w:trPr>
        <w:tc>
          <w:tcPr>
            <w:tcW w:w="3827" w:type="dxa"/>
            <w:vAlign w:val="center"/>
          </w:tcPr>
          <w:p w:rsidR="00F36BC6" w:rsidRDefault="00F36BC6" w:rsidP="00CA2D0D">
            <w:pPr>
              <w:ind w:firstLine="0"/>
              <w:jc w:val="left"/>
              <w:rPr>
                <w:szCs w:val="28"/>
              </w:rPr>
            </w:pPr>
            <w:r w:rsidRPr="00CB230B">
              <w:rPr>
                <w:szCs w:val="28"/>
              </w:rPr>
              <w:t>Проректор з наукової роботи</w:t>
            </w:r>
            <w:r>
              <w:rPr>
                <w:szCs w:val="28"/>
              </w:rPr>
              <w:t xml:space="preserve"> </w:t>
            </w:r>
            <w:r w:rsidRPr="00CB230B">
              <w:rPr>
                <w:szCs w:val="28"/>
              </w:rPr>
              <w:t>та інноваційного розвитку</w:t>
            </w:r>
          </w:p>
        </w:tc>
        <w:tc>
          <w:tcPr>
            <w:tcW w:w="2977" w:type="dxa"/>
            <w:vAlign w:val="center"/>
          </w:tcPr>
          <w:p w:rsidR="00F36BC6" w:rsidRDefault="00F36BC6" w:rsidP="00CA2D0D">
            <w:pPr>
              <w:ind w:firstLine="0"/>
              <w:jc w:val="center"/>
              <w:rPr>
                <w:szCs w:val="28"/>
              </w:rPr>
            </w:pPr>
            <w:r>
              <w:object w:dxaOrig="3315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5pt;height:57.75pt" o:ole="">
                  <v:imagedata r:id="rId5" o:title=""/>
                </v:shape>
                <o:OLEObject Type="Embed" ProgID="PBrush" ShapeID="_x0000_i1025" DrawAspect="Content" ObjectID="_1783341498" r:id="rId6"/>
              </w:object>
            </w:r>
          </w:p>
        </w:tc>
        <w:tc>
          <w:tcPr>
            <w:tcW w:w="3402" w:type="dxa"/>
            <w:vAlign w:val="center"/>
          </w:tcPr>
          <w:p w:rsidR="00F36BC6" w:rsidRDefault="00F36BC6" w:rsidP="00CA2D0D">
            <w:pPr>
              <w:ind w:firstLine="0"/>
              <w:jc w:val="left"/>
              <w:rPr>
                <w:szCs w:val="28"/>
              </w:rPr>
            </w:pPr>
          </w:p>
          <w:p w:rsidR="00F36BC6" w:rsidRDefault="00F36BC6" w:rsidP="00CA2D0D">
            <w:pPr>
              <w:ind w:firstLine="0"/>
              <w:jc w:val="left"/>
              <w:rPr>
                <w:szCs w:val="28"/>
              </w:rPr>
            </w:pPr>
            <w:r w:rsidRPr="00CB230B">
              <w:rPr>
                <w:szCs w:val="28"/>
              </w:rPr>
              <w:t>Олександр КОВАЛЬЧУК</w:t>
            </w:r>
          </w:p>
        </w:tc>
      </w:tr>
      <w:tr w:rsidR="00F36BC6" w:rsidTr="00CA2D0D">
        <w:tc>
          <w:tcPr>
            <w:tcW w:w="3827" w:type="dxa"/>
          </w:tcPr>
          <w:p w:rsidR="00F36BC6" w:rsidRPr="00D35B94" w:rsidRDefault="00F36BC6" w:rsidP="00CA2D0D">
            <w:pPr>
              <w:ind w:firstLine="0"/>
              <w:jc w:val="left"/>
              <w:rPr>
                <w:sz w:val="16"/>
                <w:szCs w:val="16"/>
              </w:rPr>
            </w:pPr>
          </w:p>
          <w:p w:rsidR="00F36BC6" w:rsidRDefault="00F36BC6" w:rsidP="00CA2D0D">
            <w:pPr>
              <w:ind w:firstLine="0"/>
              <w:jc w:val="left"/>
              <w:rPr>
                <w:szCs w:val="28"/>
              </w:rPr>
            </w:pPr>
            <w:r w:rsidRPr="00CB230B">
              <w:rPr>
                <w:szCs w:val="28"/>
              </w:rPr>
              <w:t>В.о. завідувач відділу докторантури та аспірантури</w:t>
            </w:r>
          </w:p>
        </w:tc>
        <w:bookmarkStart w:id="1" w:name="_Hlk164162775"/>
        <w:tc>
          <w:tcPr>
            <w:tcW w:w="2977" w:type="dxa"/>
          </w:tcPr>
          <w:p w:rsidR="00F36BC6" w:rsidRDefault="00F36BC6" w:rsidP="00CA2D0D">
            <w:pPr>
              <w:ind w:firstLine="0"/>
              <w:jc w:val="center"/>
              <w:rPr>
                <w:szCs w:val="28"/>
              </w:rPr>
            </w:pPr>
            <w:r>
              <w:object w:dxaOrig="2730" w:dyaOrig="2310">
                <v:shape id="_x0000_i1026" type="#_x0000_t75" style="width:1in;height:57.75pt" o:ole="">
                  <v:imagedata r:id="rId7" o:title=""/>
                </v:shape>
                <o:OLEObject Type="Embed" ProgID="PBrush" ShapeID="_x0000_i1026" DrawAspect="Content" ObjectID="_1783341499" r:id="rId8"/>
              </w:object>
            </w:r>
            <w:bookmarkEnd w:id="1"/>
          </w:p>
        </w:tc>
        <w:tc>
          <w:tcPr>
            <w:tcW w:w="3402" w:type="dxa"/>
          </w:tcPr>
          <w:p w:rsidR="00F36BC6" w:rsidRPr="00D35B94" w:rsidRDefault="00F36BC6" w:rsidP="00CA2D0D">
            <w:pPr>
              <w:ind w:firstLine="0"/>
              <w:rPr>
                <w:sz w:val="16"/>
                <w:szCs w:val="16"/>
              </w:rPr>
            </w:pPr>
          </w:p>
          <w:p w:rsidR="00F36BC6" w:rsidRDefault="00F36BC6" w:rsidP="00CA2D0D">
            <w:pPr>
              <w:ind w:firstLine="0"/>
              <w:rPr>
                <w:szCs w:val="28"/>
              </w:rPr>
            </w:pPr>
          </w:p>
          <w:p w:rsidR="00F36BC6" w:rsidRDefault="00F36BC6" w:rsidP="00CA2D0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Ю</w:t>
            </w:r>
            <w:r w:rsidRPr="00CB230B">
              <w:rPr>
                <w:szCs w:val="28"/>
              </w:rPr>
              <w:t>рій МАКСИМ’ЮК</w:t>
            </w:r>
          </w:p>
        </w:tc>
      </w:tr>
    </w:tbl>
    <w:p w:rsidR="00136346" w:rsidRDefault="00136346"/>
    <w:sectPr w:rsidR="00136346" w:rsidSect="00F36BC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47D9"/>
    <w:multiLevelType w:val="hybridMultilevel"/>
    <w:tmpl w:val="D4846F40"/>
    <w:lvl w:ilvl="0" w:tplc="36A01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49"/>
    <w:rsid w:val="00136346"/>
    <w:rsid w:val="00F36BC6"/>
    <w:rsid w:val="00F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90697-6C12-4EFE-9853-7093584D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C6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rsid w:val="00F36BC6"/>
  </w:style>
  <w:style w:type="table" w:styleId="a3">
    <w:name w:val="Table Grid"/>
    <w:basedOn w:val="a1"/>
    <w:uiPriority w:val="39"/>
    <w:rsid w:val="00F36B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F36BC6"/>
    <w:pPr>
      <w:spacing w:before="120" w:line="240" w:lineRule="auto"/>
      <w:ind w:firstLine="567"/>
      <w:jc w:val="left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3795</Words>
  <Characters>21636</Characters>
  <Application>Microsoft Office Word</Application>
  <DocSecurity>0</DocSecurity>
  <Lines>180</Lines>
  <Paragraphs>50</Paragraphs>
  <ScaleCrop>false</ScaleCrop>
  <Company/>
  <LinksUpToDate>false</LinksUpToDate>
  <CharactersWithSpaces>25381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2024-07-24T12:48:00Z</dcterms:created>
  <dcterms:modified xsi:type="dcterms:W3CDTF">2024-07-24T12:52:00Z</dcterms:modified>
</cp:coreProperties>
</file>